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ind w:left="4780"/>
        <w:spacing w:after="0" w:line="238" w:lineRule="auto"/>
        <w:rPr>
          <w:sz w:val="20"/>
          <w:szCs w:val="20"/>
          <w:color w:val="auto"/>
        </w:rPr>
      </w:pPr>
      <w:r>
        <w:rPr>
          <w:rFonts w:ascii="Arial" w:cs="Arial" w:eastAsia="Arial" w:hAnsi="Arial"/>
          <w:sz w:val="22"/>
          <w:szCs w:val="22"/>
          <w:b w:val="1"/>
          <w:bCs w:val="1"/>
          <w:color w:val="auto"/>
        </w:rPr>
        <w:t>UNITED STATES</w:t>
      </w:r>
    </w:p>
    <w:p>
      <w:pPr>
        <w:ind w:left="3440"/>
        <w:spacing w:after="0" w:line="235"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480"/>
        <w:spacing w:after="0"/>
        <w:rPr>
          <w:sz w:val="20"/>
          <w:szCs w:val="20"/>
          <w:color w:val="auto"/>
        </w:rPr>
      </w:pPr>
      <w:r>
        <w:rPr>
          <w:rFonts w:ascii="Arial" w:cs="Arial" w:eastAsia="Arial" w:hAnsi="Arial"/>
          <w:sz w:val="32"/>
          <w:szCs w:val="32"/>
          <w:b w:val="1"/>
          <w:bCs w:val="1"/>
          <w:color w:val="auto"/>
        </w:rPr>
        <w:t>SCHEDULE 14A</w:t>
      </w:r>
    </w:p>
    <w:p>
      <w:pPr>
        <w:spacing w:after="0" w:line="35"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Proxy Statement Pursuant to Section 14(a) of the</w:t>
      </w:r>
    </w:p>
    <w:p>
      <w:pPr>
        <w:ind w:left="4280"/>
        <w:spacing w:after="0" w:line="234" w:lineRule="auto"/>
        <w:rPr>
          <w:sz w:val="20"/>
          <w:szCs w:val="20"/>
          <w:color w:val="auto"/>
        </w:rPr>
      </w:pPr>
      <w:r>
        <w:rPr>
          <w:rFonts w:ascii="Arial" w:cs="Arial" w:eastAsia="Arial" w:hAnsi="Arial"/>
          <w:sz w:val="18"/>
          <w:szCs w:val="18"/>
          <w:b w:val="1"/>
          <w:bCs w:val="1"/>
          <w:color w:val="auto"/>
        </w:rPr>
        <w:t>Securities Exchange Act of 1934</w:t>
      </w:r>
    </w:p>
    <w:p>
      <w:pPr>
        <w:spacing w:after="0" w:line="1"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spacing w:after="0" w:line="207" w:lineRule="exact"/>
        <w:tabs>
          <w:tab w:leader="none" w:pos="22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198"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98"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98"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98"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98" w:lineRule="exact"/>
        <w:rPr>
          <w:rFonts w:ascii="MS PGothic" w:cs="MS PGothic" w:eastAsia="MS PGothic" w:hAnsi="MS PGothic"/>
          <w:sz w:val="18"/>
          <w:szCs w:val="18"/>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240.14a-11(c) or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COHU, INC.</w:t>
      </w:r>
    </w:p>
    <w:p>
      <w:pPr>
        <w:spacing w:after="0" w:line="39"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left="286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98"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98" w:lineRule="exact"/>
        <w:rPr>
          <w:sz w:val="24"/>
          <w:szCs w:val="24"/>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694690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72" w:right="1440" w:bottom="1440" w:gutter="0" w:footer="0" w:header="0"/>
        </w:sectPr>
      </w:pPr>
    </w:p>
    <w:bookmarkStart w:id="1" w:name="page2"/>
    <w:bookmarkEnd w:id="1"/>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512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51217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2939"/>
        <w:spacing w:after="0"/>
        <w:rPr>
          <w:sz w:val="20"/>
          <w:szCs w:val="20"/>
          <w:color w:val="auto"/>
        </w:rPr>
      </w:pPr>
      <w:r>
        <w:rPr>
          <w:rFonts w:ascii="Arial" w:cs="Arial" w:eastAsia="Arial" w:hAnsi="Arial"/>
          <w:sz w:val="18"/>
          <w:szCs w:val="18"/>
          <w:color w:val="auto"/>
        </w:rPr>
        <w:t>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14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787400</wp:posOffset>
            </wp:positionV>
            <wp:extent cx="1714500" cy="626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6261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April 2, 2025</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Dear Cohu Stockholders,</w:t>
      </w:r>
    </w:p>
    <w:p>
      <w:pPr>
        <w:spacing w:after="0" w:line="198" w:lineRule="exact"/>
        <w:rPr>
          <w:sz w:val="20"/>
          <w:szCs w:val="20"/>
          <w:color w:val="auto"/>
        </w:rPr>
      </w:pPr>
    </w:p>
    <w:p>
      <w:pPr>
        <w:ind w:left="660" w:right="20"/>
        <w:spacing w:after="0" w:line="244" w:lineRule="auto"/>
        <w:rPr>
          <w:sz w:val="20"/>
          <w:szCs w:val="20"/>
          <w:color w:val="auto"/>
        </w:rPr>
      </w:pPr>
      <w:r>
        <w:rPr>
          <w:rFonts w:ascii="Arial" w:cs="Arial" w:eastAsia="Arial" w:hAnsi="Arial"/>
          <w:sz w:val="18"/>
          <w:szCs w:val="18"/>
          <w:color w:val="auto"/>
        </w:rPr>
        <w:t xml:space="preserve">We cordially invite you to attend the Cohu, Inc. 2025 Annual Meeting of Stockholders (the “Meeting” or “annual meeting”). The Meeting will be held on Friday, May 16, 2025, at 1:00 p.m. Pacific Time. The Meeting will be a completely ‘‘virtual meeting’’ of stockholders. You will be able to attend the Meeting as well as vote and submit your questions during the live webcast of the Meeting by visiting </w:t>
      </w:r>
      <w:r>
        <w:rPr>
          <w:rFonts w:ascii="Arial" w:cs="Arial" w:eastAsia="Arial" w:hAnsi="Arial"/>
          <w:sz w:val="18"/>
          <w:szCs w:val="18"/>
          <w:u w:val="single" w:color="auto"/>
          <w:color w:val="auto"/>
        </w:rPr>
        <w:t>www.virtualshareholdermeeting.com/COHU2025</w:t>
      </w:r>
      <w:r>
        <w:rPr>
          <w:rFonts w:ascii="Arial" w:cs="Arial" w:eastAsia="Arial" w:hAnsi="Arial"/>
          <w:sz w:val="18"/>
          <w:szCs w:val="18"/>
          <w:color w:val="auto"/>
        </w:rPr>
        <w:t>and entering the 16-digit control number included in our notice of Internet availability of the proxy materials, on your proxy card or in the instructions that accompanied your proxy materials.</w:t>
      </w:r>
    </w:p>
    <w:p>
      <w:pPr>
        <w:spacing w:after="0" w:line="365" w:lineRule="exact"/>
        <w:rPr>
          <w:sz w:val="20"/>
          <w:szCs w:val="20"/>
          <w:color w:val="auto"/>
        </w:rPr>
      </w:pPr>
    </w:p>
    <w:p>
      <w:pPr>
        <w:ind w:left="660"/>
        <w:spacing w:after="0" w:line="266" w:lineRule="auto"/>
        <w:rPr>
          <w:sz w:val="20"/>
          <w:szCs w:val="20"/>
          <w:color w:val="auto"/>
        </w:rPr>
      </w:pPr>
      <w:r>
        <w:rPr>
          <w:rFonts w:ascii="Arial" w:cs="Arial" w:eastAsia="Arial" w:hAnsi="Arial"/>
          <w:sz w:val="17"/>
          <w:szCs w:val="17"/>
          <w:color w:val="auto"/>
        </w:rPr>
        <w:t>At this year’s Meeting, stockholders will be asked to elect the three (3) Class 3 nominees named in the attached proxy statement as directors each for a three-year term; to cast an advisory vote to approve our named executive officer compensation, or “Say-on-Pay;” and to ratify the appointment of Ernst &amp; Young LLP as our independent registered public accounting firm for fiscal year 2025. The Board of Directors unanimously recommends that you vote in favor of each director nominee, and for each of the other proposals.</w:t>
      </w:r>
    </w:p>
    <w:p>
      <w:pPr>
        <w:spacing w:after="0" w:line="146" w:lineRule="exact"/>
        <w:rPr>
          <w:sz w:val="20"/>
          <w:szCs w:val="20"/>
          <w:color w:val="auto"/>
        </w:rPr>
      </w:pPr>
    </w:p>
    <w:p>
      <w:pPr>
        <w:ind w:left="660" w:right="60"/>
        <w:spacing w:after="0" w:line="253" w:lineRule="auto"/>
        <w:rPr>
          <w:sz w:val="20"/>
          <w:szCs w:val="20"/>
          <w:color w:val="auto"/>
        </w:rPr>
      </w:pPr>
      <w:r>
        <w:rPr>
          <w:rFonts w:ascii="Arial" w:cs="Arial" w:eastAsia="Arial" w:hAnsi="Arial"/>
          <w:sz w:val="18"/>
          <w:szCs w:val="18"/>
          <w:color w:val="auto"/>
        </w:rPr>
        <w:t>Please refer to the proxy statement for detailed information about the Meeting, each director nominee, and each of the proposals, as well as voting instructions. Your vote is important, and we strongly urge you to cast your vote as soon as possible by internet, telephone, or mail, even if you plan to attend the Meeting.</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137795</wp:posOffset>
            </wp:positionV>
            <wp:extent cx="1345565"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4556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Emily R. Lough</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30" w:lineRule="exact"/>
        <w:rPr>
          <w:sz w:val="20"/>
          <w:szCs w:val="20"/>
          <w:color w:val="auto"/>
        </w:rPr>
      </w:pPr>
    </w:p>
    <w:p>
      <w:pPr>
        <w:ind w:left="80"/>
        <w:spacing w:after="0"/>
        <w:rPr>
          <w:sz w:val="20"/>
          <w:szCs w:val="20"/>
          <w:color w:val="auto"/>
        </w:rPr>
      </w:pPr>
      <w:r>
        <w:rPr>
          <w:rFonts w:ascii="Arial" w:cs="Arial" w:eastAsia="Arial" w:hAnsi="Arial"/>
          <w:sz w:val="39"/>
          <w:szCs w:val="39"/>
          <w:b w:val="1"/>
          <w:bCs w:val="1"/>
          <w:color w:val="FFFFFF"/>
        </w:rPr>
        <w:t>Notice of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71120</wp:posOffset>
            </wp:positionV>
            <wp:extent cx="1714500" cy="626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12367 Crosthwaite Circle, Poway, CA 92064 | Telephone: +1-858-848-8000</w:t>
      </w:r>
    </w:p>
    <w:p>
      <w:pPr>
        <w:sectPr>
          <w:pgSz w:w="11900" w:h="16838" w:orient="portrait"/>
          <w:cols w:equalWidth="0" w:num="1">
            <w:col w:w="11220"/>
          </w:cols>
          <w:pgMar w:left="320" w:top="122" w:right="359" w:bottom="1440" w:gutter="0" w:footer="0" w:header="0"/>
        </w:sect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480" w:type="dxa"/>
            <w:vAlign w:val="bottom"/>
            <w:tcBorders>
              <w:right w:val="single" w:sz="8" w:color="2D53A6"/>
            </w:tcBorders>
            <w:shd w:val="clear" w:color="auto" w:fill="2D53A6"/>
          </w:tcPr>
          <w:p>
            <w:pPr>
              <w:ind w:left="40"/>
              <w:spacing w:after="0"/>
              <w:rPr>
                <w:sz w:val="20"/>
                <w:szCs w:val="20"/>
                <w:color w:val="auto"/>
              </w:rPr>
            </w:pPr>
            <w:r>
              <w:rPr>
                <w:rFonts w:ascii="Arial" w:cs="Arial" w:eastAsia="Arial" w:hAnsi="Arial"/>
                <w:sz w:val="18"/>
                <w:szCs w:val="18"/>
                <w:b w:val="1"/>
                <w:bCs w:val="1"/>
                <w:color w:val="FFFFFF"/>
              </w:rPr>
              <w:t>Category</w:t>
            </w:r>
          </w:p>
        </w:tc>
        <w:tc>
          <w:tcPr>
            <w:tcW w:w="4020" w:type="dxa"/>
            <w:vAlign w:val="bottom"/>
            <w:shd w:val="clear" w:color="auto" w:fill="2D53A6"/>
          </w:tcPr>
          <w:p>
            <w:pPr>
              <w:ind w:left="20"/>
              <w:spacing w:after="0"/>
              <w:rPr>
                <w:sz w:val="20"/>
                <w:szCs w:val="20"/>
                <w:color w:val="auto"/>
              </w:rPr>
            </w:pPr>
            <w:r>
              <w:rPr>
                <w:rFonts w:ascii="Arial" w:cs="Arial" w:eastAsia="Arial" w:hAnsi="Arial"/>
                <w:sz w:val="18"/>
                <w:szCs w:val="18"/>
                <w:b w:val="1"/>
                <w:bCs w:val="1"/>
                <w:color w:val="FFFFFF"/>
              </w:rPr>
              <w:t>Details</w:t>
            </w:r>
          </w:p>
        </w:tc>
        <w:tc>
          <w:tcPr>
            <w:tcW w:w="0" w:type="dxa"/>
            <w:vAlign w:val="bottom"/>
          </w:tcPr>
          <w:p>
            <w:pPr>
              <w:spacing w:after="0"/>
              <w:rPr>
                <w:sz w:val="1"/>
                <w:szCs w:val="1"/>
                <w:color w:val="auto"/>
              </w:rPr>
            </w:pPr>
          </w:p>
        </w:tc>
      </w:tr>
      <w:tr>
        <w:trPr>
          <w:trHeight w:val="211"/>
        </w:trPr>
        <w:tc>
          <w:tcPr>
            <w:tcW w:w="1480" w:type="dxa"/>
            <w:vAlign w:val="bottom"/>
            <w:tcBorders>
              <w:right w:val="single" w:sz="8" w:color="2D53A6"/>
            </w:tcBorders>
          </w:tcPr>
          <w:p>
            <w:pPr>
              <w:ind w:left="40"/>
              <w:spacing w:after="0"/>
              <w:rPr>
                <w:sz w:val="20"/>
                <w:szCs w:val="20"/>
                <w:color w:val="auto"/>
              </w:rPr>
            </w:pPr>
            <w:r>
              <w:rPr>
                <w:rFonts w:ascii="Arial" w:cs="Arial" w:eastAsia="Arial" w:hAnsi="Arial"/>
                <w:sz w:val="18"/>
                <w:szCs w:val="18"/>
                <w:b w:val="1"/>
                <w:bCs w:val="1"/>
                <w:color w:val="auto"/>
              </w:rPr>
              <w:t>Date and</w:t>
            </w:r>
          </w:p>
        </w:tc>
        <w:tc>
          <w:tcPr>
            <w:tcW w:w="4020" w:type="dxa"/>
            <w:vAlign w:val="bottom"/>
          </w:tcPr>
          <w:p>
            <w:pPr>
              <w:ind w:left="20"/>
              <w:spacing w:after="0"/>
              <w:rPr>
                <w:sz w:val="20"/>
                <w:szCs w:val="20"/>
                <w:color w:val="auto"/>
              </w:rPr>
            </w:pPr>
            <w:r>
              <w:rPr>
                <w:rFonts w:ascii="Arial" w:cs="Arial" w:eastAsia="Arial" w:hAnsi="Arial"/>
                <w:sz w:val="18"/>
                <w:szCs w:val="18"/>
                <w:color w:val="auto"/>
              </w:rPr>
              <w:t>Friday, May 16, 2025, 1:00 p.m.</w:t>
            </w:r>
          </w:p>
        </w:tc>
        <w:tc>
          <w:tcPr>
            <w:tcW w:w="0" w:type="dxa"/>
            <w:vAlign w:val="bottom"/>
          </w:tcPr>
          <w:p>
            <w:pPr>
              <w:spacing w:after="0"/>
              <w:rPr>
                <w:sz w:val="1"/>
                <w:szCs w:val="1"/>
                <w:color w:val="auto"/>
              </w:rPr>
            </w:pPr>
          </w:p>
        </w:tc>
      </w:tr>
      <w:tr>
        <w:trPr>
          <w:trHeight w:val="248"/>
        </w:trPr>
        <w:tc>
          <w:tcPr>
            <w:tcW w:w="1480" w:type="dxa"/>
            <w:vAlign w:val="bottom"/>
            <w:tcBorders>
              <w:bottom w:val="single" w:sz="8" w:color="2D53A6"/>
              <w:right w:val="single" w:sz="8" w:color="2D53A6"/>
            </w:tcBorders>
          </w:tcPr>
          <w:p>
            <w:pPr>
              <w:ind w:left="40"/>
              <w:spacing w:after="0"/>
              <w:rPr>
                <w:sz w:val="20"/>
                <w:szCs w:val="20"/>
                <w:color w:val="auto"/>
              </w:rPr>
            </w:pPr>
            <w:r>
              <w:rPr>
                <w:rFonts w:ascii="Arial" w:cs="Arial" w:eastAsia="Arial" w:hAnsi="Arial"/>
                <w:sz w:val="18"/>
                <w:szCs w:val="18"/>
                <w:b w:val="1"/>
                <w:bCs w:val="1"/>
                <w:color w:val="auto"/>
              </w:rPr>
              <w:t>Time</w:t>
            </w:r>
          </w:p>
        </w:tc>
        <w:tc>
          <w:tcPr>
            <w:tcW w:w="4020" w:type="dxa"/>
            <w:vAlign w:val="bottom"/>
            <w:tcBorders>
              <w:bottom w:val="single" w:sz="8" w:color="2D53A6"/>
            </w:tcBorders>
          </w:tcPr>
          <w:p>
            <w:pPr>
              <w:ind w:left="20"/>
              <w:spacing w:after="0"/>
              <w:rPr>
                <w:sz w:val="20"/>
                <w:szCs w:val="20"/>
                <w:color w:val="auto"/>
              </w:rPr>
            </w:pPr>
            <w:r>
              <w:rPr>
                <w:rFonts w:ascii="Arial" w:cs="Arial" w:eastAsia="Arial" w:hAnsi="Arial"/>
                <w:sz w:val="18"/>
                <w:szCs w:val="18"/>
                <w:color w:val="auto"/>
              </w:rPr>
              <w:t>Pacific Time</w:t>
            </w:r>
          </w:p>
        </w:tc>
        <w:tc>
          <w:tcPr>
            <w:tcW w:w="0" w:type="dxa"/>
            <w:vAlign w:val="bottom"/>
          </w:tcPr>
          <w:p>
            <w:pPr>
              <w:spacing w:after="0"/>
              <w:rPr>
                <w:sz w:val="1"/>
                <w:szCs w:val="1"/>
                <w:color w:val="auto"/>
              </w:rPr>
            </w:pPr>
          </w:p>
        </w:tc>
      </w:tr>
      <w:tr>
        <w:trPr>
          <w:trHeight w:val="250"/>
        </w:trPr>
        <w:tc>
          <w:tcPr>
            <w:tcW w:w="1480" w:type="dxa"/>
            <w:vAlign w:val="bottom"/>
            <w:tcBorders>
              <w:bottom w:val="single" w:sz="8" w:color="2D53A6"/>
              <w:right w:val="single" w:sz="8" w:color="2D53A6"/>
            </w:tcBorders>
            <w:shd w:val="clear" w:color="auto" w:fill="E6E6E6"/>
          </w:tcPr>
          <w:p>
            <w:pPr>
              <w:ind w:left="40"/>
              <w:spacing w:after="0"/>
              <w:rPr>
                <w:sz w:val="20"/>
                <w:szCs w:val="20"/>
                <w:color w:val="auto"/>
              </w:rPr>
            </w:pPr>
            <w:r>
              <w:rPr>
                <w:rFonts w:ascii="Arial" w:cs="Arial" w:eastAsia="Arial" w:hAnsi="Arial"/>
                <w:sz w:val="18"/>
                <w:szCs w:val="18"/>
                <w:b w:val="1"/>
                <w:bCs w:val="1"/>
                <w:color w:val="auto"/>
              </w:rPr>
              <w:t>Place</w:t>
            </w:r>
          </w:p>
        </w:tc>
        <w:tc>
          <w:tcPr>
            <w:tcW w:w="4020" w:type="dxa"/>
            <w:vAlign w:val="bottom"/>
            <w:tcBorders>
              <w:bottom w:val="single" w:sz="8" w:color="2D53A6"/>
            </w:tcBorders>
            <w:shd w:val="clear" w:color="auto" w:fill="E6E6E6"/>
          </w:tcPr>
          <w:p>
            <w:pPr>
              <w:ind w:left="20"/>
              <w:spacing w:after="0"/>
              <w:rPr>
                <w:sz w:val="20"/>
                <w:szCs w:val="20"/>
                <w:color w:val="auto"/>
              </w:rPr>
            </w:pPr>
            <w:r>
              <w:rPr>
                <w:rFonts w:ascii="Arial" w:cs="Arial" w:eastAsia="Arial" w:hAnsi="Arial"/>
                <w:sz w:val="18"/>
                <w:szCs w:val="18"/>
                <w:color w:val="auto"/>
              </w:rPr>
              <w:t>Meeting will be held virtually</w:t>
            </w:r>
          </w:p>
        </w:tc>
        <w:tc>
          <w:tcPr>
            <w:tcW w:w="0" w:type="dxa"/>
            <w:vAlign w:val="bottom"/>
          </w:tcPr>
          <w:p>
            <w:pPr>
              <w:spacing w:after="0"/>
              <w:rPr>
                <w:sz w:val="1"/>
                <w:szCs w:val="1"/>
                <w:color w:val="auto"/>
              </w:rPr>
            </w:pPr>
          </w:p>
        </w:tc>
      </w:tr>
      <w:tr>
        <w:trPr>
          <w:trHeight w:val="205"/>
        </w:trPr>
        <w:tc>
          <w:tcPr>
            <w:tcW w:w="1480" w:type="dxa"/>
            <w:vAlign w:val="bottom"/>
            <w:tcBorders>
              <w:right w:val="single" w:sz="8" w:color="2D53A6"/>
            </w:tcBorders>
          </w:tcPr>
          <w:p>
            <w:pPr>
              <w:spacing w:after="0"/>
              <w:rPr>
                <w:sz w:val="17"/>
                <w:szCs w:val="17"/>
                <w:color w:val="auto"/>
              </w:rPr>
            </w:pPr>
          </w:p>
        </w:tc>
        <w:tc>
          <w:tcPr>
            <w:tcW w:w="4020" w:type="dxa"/>
            <w:vAlign w:val="bottom"/>
          </w:tcPr>
          <w:p>
            <w:pPr>
              <w:ind w:left="20"/>
              <w:spacing w:after="0" w:line="205" w:lineRule="exact"/>
              <w:rPr>
                <w:sz w:val="20"/>
                <w:szCs w:val="20"/>
                <w:color w:val="auto"/>
              </w:rPr>
            </w:pPr>
            <w:r>
              <w:rPr>
                <w:rFonts w:ascii="Arial" w:cs="Arial" w:eastAsia="Arial" w:hAnsi="Arial"/>
                <w:sz w:val="18"/>
                <w:szCs w:val="18"/>
                <w:color w:val="auto"/>
              </w:rPr>
              <w:t>Only stockholders of record at the close of</w:t>
            </w:r>
          </w:p>
        </w:tc>
        <w:tc>
          <w:tcPr>
            <w:tcW w:w="0" w:type="dxa"/>
            <w:vAlign w:val="bottom"/>
          </w:tcPr>
          <w:p>
            <w:pPr>
              <w:spacing w:after="0"/>
              <w:rPr>
                <w:sz w:val="1"/>
                <w:szCs w:val="1"/>
                <w:color w:val="auto"/>
              </w:rPr>
            </w:pPr>
          </w:p>
        </w:tc>
      </w:tr>
      <w:tr>
        <w:trPr>
          <w:trHeight w:val="203"/>
        </w:trPr>
        <w:tc>
          <w:tcPr>
            <w:tcW w:w="1480" w:type="dxa"/>
            <w:vAlign w:val="bottom"/>
            <w:tcBorders>
              <w:right w:val="single" w:sz="8" w:color="2D53A6"/>
            </w:tcBorders>
            <w:vMerge w:val="restart"/>
          </w:tcPr>
          <w:p>
            <w:pPr>
              <w:ind w:left="40"/>
              <w:spacing w:after="0"/>
              <w:rPr>
                <w:sz w:val="20"/>
                <w:szCs w:val="20"/>
                <w:color w:val="auto"/>
              </w:rPr>
            </w:pPr>
            <w:r>
              <w:rPr>
                <w:rFonts w:ascii="Arial" w:cs="Arial" w:eastAsia="Arial" w:hAnsi="Arial"/>
                <w:sz w:val="18"/>
                <w:szCs w:val="18"/>
                <w:b w:val="1"/>
                <w:bCs w:val="1"/>
                <w:color w:val="auto"/>
              </w:rPr>
              <w:t>Record Date</w:t>
            </w:r>
          </w:p>
        </w:tc>
        <w:tc>
          <w:tcPr>
            <w:tcW w:w="4020" w:type="dxa"/>
            <w:vAlign w:val="bottom"/>
          </w:tcPr>
          <w:p>
            <w:pPr>
              <w:ind w:left="20"/>
              <w:spacing w:after="0" w:line="202" w:lineRule="exact"/>
              <w:rPr>
                <w:sz w:val="20"/>
                <w:szCs w:val="20"/>
                <w:color w:val="auto"/>
              </w:rPr>
            </w:pPr>
            <w:r>
              <w:rPr>
                <w:rFonts w:ascii="Arial" w:cs="Arial" w:eastAsia="Arial" w:hAnsi="Arial"/>
                <w:sz w:val="18"/>
                <w:szCs w:val="18"/>
                <w:color w:val="auto"/>
              </w:rPr>
              <w:t>business on March 21, 2025, the “Record</w:t>
            </w:r>
          </w:p>
        </w:tc>
        <w:tc>
          <w:tcPr>
            <w:tcW w:w="0" w:type="dxa"/>
            <w:vAlign w:val="bottom"/>
          </w:tcPr>
          <w:p>
            <w:pPr>
              <w:spacing w:after="0"/>
              <w:rPr>
                <w:sz w:val="1"/>
                <w:szCs w:val="1"/>
                <w:color w:val="auto"/>
              </w:rPr>
            </w:pPr>
          </w:p>
        </w:tc>
      </w:tr>
      <w:tr>
        <w:trPr>
          <w:trHeight w:val="139"/>
        </w:trPr>
        <w:tc>
          <w:tcPr>
            <w:tcW w:w="1480" w:type="dxa"/>
            <w:vAlign w:val="bottom"/>
            <w:tcBorders>
              <w:right w:val="single" w:sz="8" w:color="2D53A6"/>
            </w:tcBorders>
            <w:vMerge w:val="continue"/>
          </w:tcPr>
          <w:p>
            <w:pPr>
              <w:spacing w:after="0"/>
              <w:rPr>
                <w:sz w:val="12"/>
                <w:szCs w:val="12"/>
                <w:color w:val="auto"/>
              </w:rPr>
            </w:pPr>
          </w:p>
        </w:tc>
        <w:tc>
          <w:tcPr>
            <w:tcW w:w="402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Date,” are entitled to notice of, and to vote at, the</w:t>
            </w:r>
          </w:p>
        </w:tc>
        <w:tc>
          <w:tcPr>
            <w:tcW w:w="0" w:type="dxa"/>
            <w:vAlign w:val="bottom"/>
          </w:tcPr>
          <w:p>
            <w:pPr>
              <w:spacing w:after="0"/>
              <w:rPr>
                <w:sz w:val="1"/>
                <w:szCs w:val="1"/>
                <w:color w:val="auto"/>
              </w:rPr>
            </w:pPr>
          </w:p>
        </w:tc>
      </w:tr>
      <w:tr>
        <w:trPr>
          <w:trHeight w:val="64"/>
        </w:trPr>
        <w:tc>
          <w:tcPr>
            <w:tcW w:w="1480" w:type="dxa"/>
            <w:vAlign w:val="bottom"/>
            <w:tcBorders>
              <w:right w:val="single" w:sz="8" w:color="2D53A6"/>
            </w:tcBorders>
          </w:tcPr>
          <w:p>
            <w:pPr>
              <w:spacing w:after="0"/>
              <w:rPr>
                <w:sz w:val="5"/>
                <w:szCs w:val="5"/>
                <w:color w:val="auto"/>
              </w:rPr>
            </w:pPr>
          </w:p>
        </w:tc>
        <w:tc>
          <w:tcPr>
            <w:tcW w:w="4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480" w:type="dxa"/>
            <w:vAlign w:val="bottom"/>
            <w:tcBorders>
              <w:right w:val="single" w:sz="8" w:color="2D53A6"/>
            </w:tcBorders>
          </w:tcPr>
          <w:p>
            <w:pPr>
              <w:spacing w:after="0"/>
              <w:rPr>
                <w:sz w:val="21"/>
                <w:szCs w:val="21"/>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annual meeting</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and Annual Report Materials</w:t>
      </w:r>
    </w:p>
    <w:p>
      <w:pPr>
        <w:spacing w:after="0" w:line="198" w:lineRule="exact"/>
        <w:rPr>
          <w:sz w:val="20"/>
          <w:szCs w:val="20"/>
          <w:color w:val="auto"/>
        </w:rPr>
      </w:pPr>
    </w:p>
    <w:p>
      <w:pPr>
        <w:jc w:val="both"/>
        <w:ind w:right="500"/>
        <w:spacing w:after="0" w:line="257" w:lineRule="auto"/>
        <w:rPr>
          <w:sz w:val="20"/>
          <w:szCs w:val="20"/>
          <w:color w:val="auto"/>
        </w:rPr>
      </w:pPr>
      <w:r>
        <w:rPr>
          <w:rFonts w:ascii="Arial" w:cs="Arial" w:eastAsia="Arial" w:hAnsi="Arial"/>
          <w:sz w:val="18"/>
          <w:szCs w:val="18"/>
          <w:b w:val="1"/>
          <w:bCs w:val="1"/>
          <w:color w:val="auto"/>
        </w:rPr>
        <w:t>IMPORTANT NOTICE REGARDING THE AVAILABILITY OF PROXY MATERIALS FOR THE 2025 ANNUAL MEETING OF STOCKHOLDERS TO BE HELD MAY 16, 2025</w:t>
      </w:r>
    </w:p>
    <w:p>
      <w:pPr>
        <w:spacing w:after="0" w:line="14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Our notice of 2025 Annual Meeting of Stockholders, proxy statement, and annual report to stockholders are available at </w:t>
      </w:r>
      <w:r>
        <w:rPr>
          <w:rFonts w:ascii="Arial" w:cs="Arial" w:eastAsia="Arial" w:hAnsi="Arial"/>
          <w:sz w:val="18"/>
          <w:szCs w:val="18"/>
          <w:u w:val="single" w:color="auto"/>
          <w:color w:val="auto"/>
        </w:rPr>
        <w:t>http://materials.proxyvote.com/192576</w:t>
      </w:r>
      <w:r>
        <w:rPr>
          <w:rFonts w:ascii="Arial" w:cs="Arial" w:eastAsia="Arial" w:hAnsi="Arial"/>
          <w:sz w:val="18"/>
          <w:szCs w:val="18"/>
          <w:color w:val="auto"/>
        </w:rPr>
        <w:t xml:space="preserve"> and on Cohu’s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Elect Electronic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488690" cy="1688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88690" cy="1688465"/>
                    </a:xfrm>
                    <a:prstGeom prst="rect">
                      <a:avLst/>
                    </a:prstGeom>
                    <a:noFill/>
                  </pic:spPr>
                </pic:pic>
              </a:graphicData>
            </a:graphic>
          </wp:anchor>
        </w:drawing>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FFFFFF"/>
        </w:rPr>
        <w:t>Save Time, Money &amp; Trees</w:t>
      </w:r>
    </w:p>
    <w:p>
      <w:pPr>
        <w:spacing w:after="0" w:line="12" w:lineRule="exact"/>
        <w:rPr>
          <w:sz w:val="20"/>
          <w:szCs w:val="20"/>
          <w:color w:val="auto"/>
        </w:rPr>
      </w:pPr>
    </w:p>
    <w:p>
      <w:pPr>
        <w:ind w:left="40" w:right="300"/>
        <w:spacing w:after="0"/>
        <w:rPr>
          <w:sz w:val="20"/>
          <w:szCs w:val="20"/>
          <w:color w:val="auto"/>
        </w:rPr>
      </w:pPr>
      <w:r>
        <w:rPr>
          <w:rFonts w:ascii="Arial" w:cs="Arial" w:eastAsia="Arial" w:hAnsi="Arial"/>
          <w:sz w:val="18"/>
          <w:szCs w:val="18"/>
          <w:color w:val="FFFFFF"/>
        </w:rPr>
        <w:t>As part of our efforts to be an environmentally responsible corporate citizen, we encourage Cohu stockholders to voluntarily elect to receive future proxy and annual report materials electronically.</w:t>
      </w:r>
    </w:p>
    <w:p>
      <w:pPr>
        <w:spacing w:after="0" w:line="167" w:lineRule="exact"/>
        <w:rPr>
          <w:sz w:val="20"/>
          <w:szCs w:val="20"/>
          <w:color w:val="auto"/>
        </w:rPr>
      </w:pPr>
    </w:p>
    <w:p>
      <w:pPr>
        <w:ind w:left="540" w:right="1280" w:hanging="330"/>
        <w:spacing w:after="0" w:line="245" w:lineRule="auto"/>
        <w:tabs>
          <w:tab w:leader="none" w:pos="529" w:val="left"/>
        </w:tabs>
        <w:numPr>
          <w:ilvl w:val="0"/>
          <w:numId w:val="6"/>
        </w:numPr>
        <w:rPr>
          <w:rFonts w:ascii="Arial" w:cs="Arial" w:eastAsia="Arial" w:hAnsi="Arial"/>
          <w:sz w:val="18"/>
          <w:szCs w:val="18"/>
          <w:color w:val="FFFFFF"/>
        </w:rPr>
      </w:pPr>
      <w:r>
        <w:rPr>
          <w:rFonts w:ascii="Arial" w:cs="Arial" w:eastAsia="Arial" w:hAnsi="Arial"/>
          <w:sz w:val="18"/>
          <w:szCs w:val="18"/>
          <w:color w:val="FFFFFF"/>
        </w:rPr>
        <w:t>If you are a registered stockholder, please visit www.proxyvote.com for instructions.</w:t>
      </w:r>
    </w:p>
    <w:p>
      <w:pPr>
        <w:ind w:left="540" w:right="200" w:hanging="330"/>
        <w:spacing w:after="0" w:line="208" w:lineRule="exact"/>
        <w:tabs>
          <w:tab w:leader="none" w:pos="529" w:val="left"/>
        </w:tabs>
        <w:numPr>
          <w:ilvl w:val="0"/>
          <w:numId w:val="6"/>
        </w:numPr>
        <w:rPr>
          <w:rFonts w:ascii="Arial" w:cs="Arial" w:eastAsia="Arial" w:hAnsi="Arial"/>
          <w:sz w:val="18"/>
          <w:szCs w:val="18"/>
          <w:color w:val="FFFFFF"/>
        </w:rPr>
      </w:pPr>
      <w:r>
        <w:rPr>
          <w:rFonts w:ascii="Arial" w:cs="Arial" w:eastAsia="Arial" w:hAnsi="Arial"/>
          <w:sz w:val="18"/>
          <w:szCs w:val="18"/>
          <w:color w:val="FFFFFF"/>
        </w:rPr>
        <w:t>If you are a stockholder who owns stock through a broker or brokerage account, please opt for e</w:t>
      </w:r>
      <w:r>
        <w:rPr>
          <w:rFonts w:ascii="MS PGothic" w:cs="MS PGothic" w:eastAsia="MS PGothic" w:hAnsi="MS PGothic"/>
          <w:sz w:val="18"/>
          <w:szCs w:val="18"/>
          <w:color w:val="FFFFFF"/>
        </w:rPr>
        <w:t>‑</w:t>
      </w:r>
      <w:r>
        <w:rPr>
          <w:rFonts w:ascii="Arial" w:cs="Arial" w:eastAsia="Arial" w:hAnsi="Arial"/>
          <w:sz w:val="18"/>
          <w:szCs w:val="18"/>
          <w:color w:val="FFFFFF"/>
        </w:rPr>
        <w:t>delivery at www.proxyvote.com or by contacting your nominee.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Distribution</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notice, the notice of internet availability of proxy materials, proxy statement and proxy card are first being made available and/or mailed to our stockholders on or about April 2, 2025.</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260" w:type="dxa"/>
            <w:vAlign w:val="bottom"/>
            <w:tcBorders>
              <w:right w:val="single" w:sz="8" w:color="2D53A6"/>
            </w:tcBorders>
            <w:vMerge w:val="restart"/>
            <w:shd w:val="clear" w:color="auto" w:fill="2D53A6"/>
          </w:tcPr>
          <w:p>
            <w:pPr>
              <w:jc w:val="right"/>
              <w:ind w:right="50"/>
              <w:spacing w:after="0"/>
              <w:rPr>
                <w:sz w:val="20"/>
                <w:szCs w:val="20"/>
                <w:color w:val="auto"/>
              </w:rPr>
            </w:pPr>
            <w:r>
              <w:rPr>
                <w:rFonts w:ascii="Arial" w:cs="Arial" w:eastAsia="Arial" w:hAnsi="Arial"/>
                <w:sz w:val="18"/>
                <w:szCs w:val="18"/>
                <w:b w:val="1"/>
                <w:bCs w:val="1"/>
                <w:color w:val="FFFFFF"/>
                <w:w w:val="99"/>
              </w:rPr>
              <w:t>#</w:t>
            </w:r>
          </w:p>
        </w:tc>
        <w:tc>
          <w:tcPr>
            <w:tcW w:w="3680" w:type="dxa"/>
            <w:vAlign w:val="bottom"/>
            <w:tcBorders>
              <w:right w:val="single" w:sz="8" w:color="2D53A6"/>
            </w:tcBorders>
            <w:vMerge w:val="restart"/>
            <w:shd w:val="clear" w:color="auto" w:fill="2D53A6"/>
          </w:tcPr>
          <w:p>
            <w:pPr>
              <w:ind w:left="40"/>
              <w:spacing w:after="0"/>
              <w:rPr>
                <w:sz w:val="20"/>
                <w:szCs w:val="20"/>
                <w:color w:val="auto"/>
              </w:rPr>
            </w:pPr>
            <w:r>
              <w:rPr>
                <w:rFonts w:ascii="Arial" w:cs="Arial" w:eastAsia="Arial" w:hAnsi="Arial"/>
                <w:sz w:val="18"/>
                <w:szCs w:val="18"/>
                <w:b w:val="1"/>
                <w:bCs w:val="1"/>
                <w:color w:val="FFFFFF"/>
              </w:rPr>
              <w:t>Proposal</w:t>
            </w:r>
          </w:p>
        </w:tc>
        <w:tc>
          <w:tcPr>
            <w:tcW w:w="1540" w:type="dxa"/>
            <w:vAlign w:val="bottom"/>
            <w:shd w:val="clear" w:color="auto" w:fill="2D53A6"/>
          </w:tcPr>
          <w:p>
            <w:pPr>
              <w:jc w:val="center"/>
              <w:spacing w:after="0"/>
              <w:rPr>
                <w:sz w:val="20"/>
                <w:szCs w:val="20"/>
                <w:color w:val="auto"/>
              </w:rPr>
            </w:pPr>
            <w:r>
              <w:rPr>
                <w:rFonts w:ascii="Arial" w:cs="Arial" w:eastAsia="Arial" w:hAnsi="Arial"/>
                <w:sz w:val="14"/>
                <w:szCs w:val="14"/>
                <w:b w:val="1"/>
                <w:bCs w:val="1"/>
                <w:color w:val="FFFFFF"/>
              </w:rPr>
              <w:t>Our Board</w:t>
            </w:r>
            <w:r>
              <w:rPr>
                <w:rFonts w:ascii="Arial" w:cs="Arial" w:eastAsia="Arial" w:hAnsi="Arial"/>
                <w:sz w:val="14"/>
                <w:szCs w:val="14"/>
                <w:color w:val="FFFFFF"/>
              </w:rPr>
              <w:t>’</w:t>
            </w:r>
            <w:r>
              <w:rPr>
                <w:rFonts w:ascii="Arial" w:cs="Arial" w:eastAsia="Arial" w:hAnsi="Arial"/>
                <w:sz w:val="14"/>
                <w:szCs w:val="14"/>
                <w:b w:val="1"/>
                <w:bCs w:val="1"/>
                <w:color w:val="FFFFFF"/>
              </w:rPr>
              <w:t>s</w:t>
            </w:r>
          </w:p>
        </w:tc>
        <w:tc>
          <w:tcPr>
            <w:tcW w:w="0" w:type="dxa"/>
            <w:vAlign w:val="bottom"/>
          </w:tcPr>
          <w:p>
            <w:pPr>
              <w:spacing w:after="0"/>
              <w:rPr>
                <w:sz w:val="1"/>
                <w:szCs w:val="1"/>
                <w:color w:val="auto"/>
              </w:rPr>
            </w:pPr>
          </w:p>
        </w:tc>
      </w:tr>
      <w:tr>
        <w:trPr>
          <w:trHeight w:val="143"/>
        </w:trPr>
        <w:tc>
          <w:tcPr>
            <w:tcW w:w="260" w:type="dxa"/>
            <w:vAlign w:val="bottom"/>
            <w:tcBorders>
              <w:right w:val="single" w:sz="8" w:color="2D53A6"/>
            </w:tcBorders>
            <w:vMerge w:val="continue"/>
            <w:shd w:val="clear" w:color="auto" w:fill="2D53A6"/>
          </w:tcPr>
          <w:p>
            <w:pPr>
              <w:spacing w:after="0"/>
              <w:rPr>
                <w:sz w:val="12"/>
                <w:szCs w:val="12"/>
                <w:color w:val="auto"/>
              </w:rPr>
            </w:pPr>
          </w:p>
        </w:tc>
        <w:tc>
          <w:tcPr>
            <w:tcW w:w="3680" w:type="dxa"/>
            <w:vAlign w:val="bottom"/>
            <w:tcBorders>
              <w:right w:val="single" w:sz="8" w:color="2D53A6"/>
            </w:tcBorders>
            <w:vMerge w:val="continue"/>
            <w:shd w:val="clear" w:color="auto" w:fill="2D53A6"/>
          </w:tcPr>
          <w:p>
            <w:pPr>
              <w:spacing w:after="0"/>
              <w:rPr>
                <w:sz w:val="12"/>
                <w:szCs w:val="12"/>
                <w:color w:val="auto"/>
              </w:rPr>
            </w:pPr>
          </w:p>
        </w:tc>
        <w:tc>
          <w:tcPr>
            <w:tcW w:w="1540" w:type="dxa"/>
            <w:vAlign w:val="bottom"/>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Recommendation</w:t>
            </w:r>
          </w:p>
        </w:tc>
        <w:tc>
          <w:tcPr>
            <w:tcW w:w="0" w:type="dxa"/>
            <w:vAlign w:val="bottom"/>
          </w:tcPr>
          <w:p>
            <w:pPr>
              <w:spacing w:after="0"/>
              <w:rPr>
                <w:sz w:val="1"/>
                <w:szCs w:val="1"/>
                <w:color w:val="auto"/>
              </w:rPr>
            </w:pPr>
          </w:p>
        </w:tc>
      </w:tr>
      <w:tr>
        <w:trPr>
          <w:trHeight w:val="69"/>
        </w:trPr>
        <w:tc>
          <w:tcPr>
            <w:tcW w:w="260" w:type="dxa"/>
            <w:vAlign w:val="bottom"/>
            <w:tcBorders>
              <w:right w:val="single" w:sz="8" w:color="2D53A6"/>
            </w:tcBorders>
            <w:shd w:val="clear" w:color="auto" w:fill="2D53A6"/>
          </w:tcPr>
          <w:p>
            <w:pPr>
              <w:spacing w:after="0"/>
              <w:rPr>
                <w:sz w:val="6"/>
                <w:szCs w:val="6"/>
                <w:color w:val="auto"/>
              </w:rPr>
            </w:pPr>
          </w:p>
        </w:tc>
        <w:tc>
          <w:tcPr>
            <w:tcW w:w="3680" w:type="dxa"/>
            <w:vAlign w:val="bottom"/>
            <w:tcBorders>
              <w:right w:val="single" w:sz="8" w:color="2D53A6"/>
            </w:tcBorders>
            <w:shd w:val="clear" w:color="auto" w:fill="2D53A6"/>
          </w:tcPr>
          <w:p>
            <w:pPr>
              <w:spacing w:after="0"/>
              <w:rPr>
                <w:sz w:val="6"/>
                <w:szCs w:val="6"/>
                <w:color w:val="auto"/>
              </w:rPr>
            </w:pPr>
          </w:p>
        </w:tc>
        <w:tc>
          <w:tcPr>
            <w:tcW w:w="1540" w:type="dxa"/>
            <w:vAlign w:val="bottom"/>
            <w:vMerge w:val="continue"/>
            <w:shd w:val="clear" w:color="auto" w:fill="2D53A6"/>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60" w:type="dxa"/>
            <w:vAlign w:val="bottom"/>
            <w:tcBorders>
              <w:right w:val="single" w:sz="8" w:color="2D53A6"/>
            </w:tcBorders>
          </w:tcPr>
          <w:p>
            <w:pPr>
              <w:jc w:val="right"/>
              <w:ind w:right="50"/>
              <w:spacing w:after="0"/>
              <w:rPr>
                <w:sz w:val="20"/>
                <w:szCs w:val="20"/>
                <w:color w:val="auto"/>
              </w:rPr>
            </w:pPr>
            <w:r>
              <w:rPr>
                <w:rFonts w:ascii="Arial" w:cs="Arial" w:eastAsia="Arial" w:hAnsi="Arial"/>
                <w:sz w:val="18"/>
                <w:szCs w:val="18"/>
                <w:b w:val="1"/>
                <w:bCs w:val="1"/>
                <w:color w:val="auto"/>
                <w:w w:val="99"/>
              </w:rPr>
              <w:t>1</w:t>
            </w:r>
          </w:p>
        </w:tc>
        <w:tc>
          <w:tcPr>
            <w:tcW w:w="368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Election of three (3) Class 3 directors, for a</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9"/>
              </w:rPr>
              <w:t>√ FOR each</w:t>
            </w:r>
          </w:p>
        </w:tc>
        <w:tc>
          <w:tcPr>
            <w:tcW w:w="0" w:type="dxa"/>
            <w:vAlign w:val="bottom"/>
          </w:tcPr>
          <w:p>
            <w:pPr>
              <w:spacing w:after="0"/>
              <w:rPr>
                <w:sz w:val="1"/>
                <w:szCs w:val="1"/>
                <w:color w:val="auto"/>
              </w:rPr>
            </w:pPr>
          </w:p>
        </w:tc>
      </w:tr>
      <w:tr>
        <w:trPr>
          <w:trHeight w:val="203"/>
        </w:trPr>
        <w:tc>
          <w:tcPr>
            <w:tcW w:w="260" w:type="dxa"/>
            <w:vAlign w:val="bottom"/>
            <w:tcBorders>
              <w:right w:val="single" w:sz="8" w:color="2D53A6"/>
            </w:tcBorders>
          </w:tcPr>
          <w:p>
            <w:pPr>
              <w:spacing w:after="0"/>
              <w:rPr>
                <w:sz w:val="17"/>
                <w:szCs w:val="17"/>
                <w:color w:val="auto"/>
              </w:rPr>
            </w:pPr>
          </w:p>
        </w:tc>
        <w:tc>
          <w:tcPr>
            <w:tcW w:w="3680" w:type="dxa"/>
            <w:vAlign w:val="bottom"/>
            <w:tcBorders>
              <w:right w:val="single" w:sz="8" w:color="2D53A6"/>
            </w:tcBorders>
          </w:tcPr>
          <w:p>
            <w:pPr>
              <w:ind w:left="40"/>
              <w:spacing w:after="0" w:line="202" w:lineRule="exact"/>
              <w:rPr>
                <w:sz w:val="20"/>
                <w:szCs w:val="20"/>
                <w:color w:val="auto"/>
              </w:rPr>
            </w:pPr>
            <w:r>
              <w:rPr>
                <w:rFonts w:ascii="Arial" w:cs="Arial" w:eastAsia="Arial" w:hAnsi="Arial"/>
                <w:sz w:val="18"/>
                <w:szCs w:val="18"/>
                <w:color w:val="auto"/>
              </w:rPr>
              <w:t>term of three years each</w:t>
            </w:r>
          </w:p>
        </w:tc>
        <w:tc>
          <w:tcPr>
            <w:tcW w:w="15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Director</w:t>
            </w:r>
          </w:p>
        </w:tc>
        <w:tc>
          <w:tcPr>
            <w:tcW w:w="0" w:type="dxa"/>
            <w:vAlign w:val="bottom"/>
          </w:tcPr>
          <w:p>
            <w:pPr>
              <w:spacing w:after="0"/>
              <w:rPr>
                <w:sz w:val="1"/>
                <w:szCs w:val="1"/>
                <w:color w:val="auto"/>
              </w:rPr>
            </w:pPr>
          </w:p>
        </w:tc>
      </w:tr>
      <w:tr>
        <w:trPr>
          <w:trHeight w:val="248"/>
        </w:trPr>
        <w:tc>
          <w:tcPr>
            <w:tcW w:w="260" w:type="dxa"/>
            <w:vAlign w:val="bottom"/>
            <w:tcBorders>
              <w:bottom w:val="single" w:sz="8" w:color="2D53A6"/>
              <w:right w:val="single" w:sz="8" w:color="2D53A6"/>
            </w:tcBorders>
          </w:tcPr>
          <w:p>
            <w:pPr>
              <w:spacing w:after="0"/>
              <w:rPr>
                <w:sz w:val="21"/>
                <w:szCs w:val="21"/>
                <w:color w:val="auto"/>
              </w:rPr>
            </w:pPr>
          </w:p>
        </w:tc>
        <w:tc>
          <w:tcPr>
            <w:tcW w:w="3680" w:type="dxa"/>
            <w:vAlign w:val="bottom"/>
            <w:tcBorders>
              <w:bottom w:val="single" w:sz="8" w:color="2D53A6"/>
              <w:right w:val="single" w:sz="8" w:color="2D53A6"/>
            </w:tcBorders>
          </w:tcPr>
          <w:p>
            <w:pPr>
              <w:spacing w:after="0"/>
              <w:rPr>
                <w:sz w:val="21"/>
                <w:szCs w:val="21"/>
                <w:color w:val="auto"/>
              </w:rPr>
            </w:pPr>
          </w:p>
        </w:tc>
        <w:tc>
          <w:tcPr>
            <w:tcW w:w="15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b w:val="1"/>
                <w:bCs w:val="1"/>
                <w:color w:val="auto"/>
                <w:w w:val="99"/>
              </w:rPr>
              <w:t>Nominee</w:t>
            </w:r>
          </w:p>
        </w:tc>
        <w:tc>
          <w:tcPr>
            <w:tcW w:w="0" w:type="dxa"/>
            <w:vAlign w:val="bottom"/>
          </w:tcPr>
          <w:p>
            <w:pPr>
              <w:spacing w:after="0"/>
              <w:rPr>
                <w:sz w:val="1"/>
                <w:szCs w:val="1"/>
                <w:color w:val="auto"/>
              </w:rPr>
            </w:pPr>
          </w:p>
        </w:tc>
      </w:tr>
      <w:tr>
        <w:trPr>
          <w:trHeight w:val="205"/>
        </w:trPr>
        <w:tc>
          <w:tcPr>
            <w:tcW w:w="260" w:type="dxa"/>
            <w:vAlign w:val="bottom"/>
            <w:tcBorders>
              <w:right w:val="single" w:sz="8" w:color="2D53A6"/>
            </w:tcBorders>
            <w:shd w:val="clear" w:color="auto" w:fill="E6E6E6"/>
          </w:tcPr>
          <w:p>
            <w:pPr>
              <w:jc w:val="right"/>
              <w:ind w:right="50"/>
              <w:spacing w:after="0" w:line="205" w:lineRule="exact"/>
              <w:rPr>
                <w:sz w:val="20"/>
                <w:szCs w:val="20"/>
                <w:color w:val="auto"/>
              </w:rPr>
            </w:pPr>
            <w:r>
              <w:rPr>
                <w:rFonts w:ascii="Arial" w:cs="Arial" w:eastAsia="Arial" w:hAnsi="Arial"/>
                <w:sz w:val="18"/>
                <w:szCs w:val="18"/>
                <w:b w:val="1"/>
                <w:bCs w:val="1"/>
                <w:color w:val="auto"/>
                <w:w w:val="99"/>
              </w:rPr>
              <w:t>2</w:t>
            </w:r>
          </w:p>
        </w:tc>
        <w:tc>
          <w:tcPr>
            <w:tcW w:w="3680" w:type="dxa"/>
            <w:vAlign w:val="bottom"/>
            <w:tcBorders>
              <w:right w:val="single" w:sz="8" w:color="2D53A6"/>
            </w:tcBorders>
            <w:shd w:val="clear" w:color="auto" w:fill="E6E6E6"/>
          </w:tcPr>
          <w:p>
            <w:pPr>
              <w:ind w:left="40"/>
              <w:spacing w:after="0" w:line="205" w:lineRule="exact"/>
              <w:rPr>
                <w:sz w:val="20"/>
                <w:szCs w:val="20"/>
                <w:color w:val="auto"/>
              </w:rPr>
            </w:pPr>
            <w:r>
              <w:rPr>
                <w:rFonts w:ascii="Arial" w:cs="Arial" w:eastAsia="Arial" w:hAnsi="Arial"/>
                <w:sz w:val="18"/>
                <w:szCs w:val="18"/>
                <w:color w:val="auto"/>
              </w:rPr>
              <w:t>Advisory vote to approve our Named</w:t>
            </w:r>
          </w:p>
        </w:tc>
        <w:tc>
          <w:tcPr>
            <w:tcW w:w="154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 w:type="dxa"/>
            <w:vAlign w:val="bottom"/>
            <w:tcBorders>
              <w:right w:val="single" w:sz="8" w:color="2D53A6"/>
            </w:tcBorders>
            <w:shd w:val="clear" w:color="auto" w:fill="E6E6E6"/>
          </w:tcPr>
          <w:p>
            <w:pPr>
              <w:spacing w:after="0"/>
              <w:rPr>
                <w:sz w:val="17"/>
                <w:szCs w:val="17"/>
                <w:color w:val="auto"/>
              </w:rPr>
            </w:pPr>
          </w:p>
        </w:tc>
        <w:tc>
          <w:tcPr>
            <w:tcW w:w="3680" w:type="dxa"/>
            <w:vAlign w:val="bottom"/>
            <w:tcBorders>
              <w:right w:val="single" w:sz="8" w:color="2D53A6"/>
            </w:tcBorders>
            <w:shd w:val="clear" w:color="auto" w:fill="E6E6E6"/>
          </w:tcPr>
          <w:p>
            <w:pPr>
              <w:ind w:left="40"/>
              <w:spacing w:after="0" w:line="202" w:lineRule="exact"/>
              <w:rPr>
                <w:sz w:val="20"/>
                <w:szCs w:val="20"/>
                <w:color w:val="auto"/>
              </w:rPr>
            </w:pPr>
            <w:r>
              <w:rPr>
                <w:rFonts w:ascii="Arial" w:cs="Arial" w:eastAsia="Arial" w:hAnsi="Arial"/>
                <w:sz w:val="18"/>
                <w:szCs w:val="18"/>
                <w:color w:val="auto"/>
              </w:rPr>
              <w:t>Executive Officer compensation, or “Say-on-</w:t>
            </w:r>
          </w:p>
        </w:tc>
        <w:tc>
          <w:tcPr>
            <w:tcW w:w="1540" w:type="dxa"/>
            <w:vAlign w:val="bottom"/>
            <w:shd w:val="clear" w:color="auto" w:fill="E6E6E6"/>
          </w:tcPr>
          <w:p>
            <w:pPr>
              <w:jc w:val="center"/>
              <w:spacing w:after="0" w:line="202" w:lineRule="exact"/>
              <w:rPr>
                <w:sz w:val="20"/>
                <w:szCs w:val="20"/>
                <w:color w:val="auto"/>
              </w:rPr>
            </w:pPr>
            <w:r>
              <w:rPr>
                <w:rFonts w:ascii="Arial" w:cs="Arial" w:eastAsia="Arial" w:hAnsi="Arial"/>
                <w:sz w:val="18"/>
                <w:szCs w:val="18"/>
                <w:b w:val="1"/>
                <w:bCs w:val="1"/>
                <w:color w:val="auto"/>
                <w:w w:val="98"/>
              </w:rPr>
              <w:t>√ FOR</w:t>
            </w:r>
          </w:p>
        </w:tc>
        <w:tc>
          <w:tcPr>
            <w:tcW w:w="0" w:type="dxa"/>
            <w:vAlign w:val="bottom"/>
          </w:tcPr>
          <w:p>
            <w:pPr>
              <w:spacing w:after="0"/>
              <w:rPr>
                <w:sz w:val="1"/>
                <w:szCs w:val="1"/>
                <w:color w:val="auto"/>
              </w:rPr>
            </w:pPr>
          </w:p>
        </w:tc>
      </w:tr>
      <w:tr>
        <w:trPr>
          <w:trHeight w:val="244"/>
        </w:trPr>
        <w:tc>
          <w:tcPr>
            <w:tcW w:w="260" w:type="dxa"/>
            <w:vAlign w:val="bottom"/>
            <w:tcBorders>
              <w:bottom w:val="single" w:sz="8" w:color="2D53A6"/>
              <w:right w:val="single" w:sz="8" w:color="2D53A6"/>
            </w:tcBorders>
            <w:shd w:val="clear" w:color="auto" w:fill="E6E6E6"/>
          </w:tcPr>
          <w:p>
            <w:pPr>
              <w:spacing w:after="0"/>
              <w:rPr>
                <w:sz w:val="21"/>
                <w:szCs w:val="21"/>
                <w:color w:val="auto"/>
              </w:rPr>
            </w:pPr>
          </w:p>
        </w:tc>
        <w:tc>
          <w:tcPr>
            <w:tcW w:w="3680" w:type="dxa"/>
            <w:vAlign w:val="bottom"/>
            <w:tcBorders>
              <w:bottom w:val="single" w:sz="8" w:color="2D53A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Pay”</w:t>
            </w:r>
          </w:p>
        </w:tc>
        <w:tc>
          <w:tcPr>
            <w:tcW w:w="1540" w:type="dxa"/>
            <w:vAlign w:val="bottom"/>
            <w:tcBorders>
              <w:bottom w:val="single" w:sz="8" w:color="2D53A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60" w:type="dxa"/>
            <w:vAlign w:val="bottom"/>
            <w:tcBorders>
              <w:right w:val="single" w:sz="8" w:color="2D53A6"/>
            </w:tcBorders>
          </w:tcPr>
          <w:p>
            <w:pPr>
              <w:jc w:val="right"/>
              <w:ind w:right="50"/>
              <w:spacing w:after="0"/>
              <w:rPr>
                <w:sz w:val="20"/>
                <w:szCs w:val="20"/>
                <w:color w:val="auto"/>
              </w:rPr>
            </w:pPr>
            <w:r>
              <w:rPr>
                <w:rFonts w:ascii="Arial" w:cs="Arial" w:eastAsia="Arial" w:hAnsi="Arial"/>
                <w:sz w:val="18"/>
                <w:szCs w:val="18"/>
                <w:b w:val="1"/>
                <w:bCs w:val="1"/>
                <w:color w:val="auto"/>
                <w:w w:val="99"/>
              </w:rPr>
              <w:t>3</w:t>
            </w:r>
          </w:p>
        </w:tc>
        <w:tc>
          <w:tcPr>
            <w:tcW w:w="368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Ratification of the appointment of Ernst &amp;</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0" w:type="dxa"/>
            <w:vAlign w:val="bottom"/>
            <w:tcBorders>
              <w:right w:val="single" w:sz="8" w:color="2D53A6"/>
            </w:tcBorders>
          </w:tcPr>
          <w:p>
            <w:pPr>
              <w:spacing w:after="0"/>
              <w:rPr>
                <w:sz w:val="17"/>
                <w:szCs w:val="17"/>
                <w:color w:val="auto"/>
              </w:rPr>
            </w:pPr>
          </w:p>
        </w:tc>
        <w:tc>
          <w:tcPr>
            <w:tcW w:w="3680" w:type="dxa"/>
            <w:vAlign w:val="bottom"/>
            <w:tcBorders>
              <w:right w:val="single" w:sz="8" w:color="2D53A6"/>
            </w:tcBorders>
          </w:tcPr>
          <w:p>
            <w:pPr>
              <w:ind w:left="40"/>
              <w:spacing w:after="0" w:line="202" w:lineRule="exact"/>
              <w:rPr>
                <w:sz w:val="20"/>
                <w:szCs w:val="20"/>
                <w:color w:val="auto"/>
              </w:rPr>
            </w:pPr>
            <w:r>
              <w:rPr>
                <w:rFonts w:ascii="Arial" w:cs="Arial" w:eastAsia="Arial" w:hAnsi="Arial"/>
                <w:sz w:val="18"/>
                <w:szCs w:val="18"/>
                <w:color w:val="auto"/>
              </w:rPr>
              <w:t>Young LLP as our independent registered</w:t>
            </w:r>
          </w:p>
        </w:tc>
        <w:tc>
          <w:tcPr>
            <w:tcW w:w="15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 FOR</w:t>
            </w:r>
          </w:p>
        </w:tc>
        <w:tc>
          <w:tcPr>
            <w:tcW w:w="0" w:type="dxa"/>
            <w:vAlign w:val="bottom"/>
          </w:tcPr>
          <w:p>
            <w:pPr>
              <w:spacing w:after="0"/>
              <w:rPr>
                <w:sz w:val="1"/>
                <w:szCs w:val="1"/>
                <w:color w:val="auto"/>
              </w:rPr>
            </w:pPr>
          </w:p>
        </w:tc>
      </w:tr>
      <w:tr>
        <w:trPr>
          <w:trHeight w:val="244"/>
        </w:trPr>
        <w:tc>
          <w:tcPr>
            <w:tcW w:w="260" w:type="dxa"/>
            <w:vAlign w:val="bottom"/>
            <w:tcBorders>
              <w:bottom w:val="single" w:sz="8" w:color="2D53A6"/>
              <w:right w:val="single" w:sz="8" w:color="2D53A6"/>
            </w:tcBorders>
          </w:tcPr>
          <w:p>
            <w:pPr>
              <w:spacing w:after="0"/>
              <w:rPr>
                <w:sz w:val="21"/>
                <w:szCs w:val="21"/>
                <w:color w:val="auto"/>
              </w:rPr>
            </w:pPr>
          </w:p>
        </w:tc>
        <w:tc>
          <w:tcPr>
            <w:tcW w:w="3680" w:type="dxa"/>
            <w:vAlign w:val="bottom"/>
            <w:tcBorders>
              <w:bottom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public accounting firm for fiscal year 2025</w:t>
            </w:r>
          </w:p>
        </w:tc>
        <w:tc>
          <w:tcPr>
            <w:tcW w:w="1540" w:type="dxa"/>
            <w:vAlign w:val="bottom"/>
            <w:tcBorders>
              <w:bottom w:val="single" w:sz="8" w:color="2D53A6"/>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60" w:type="dxa"/>
            <w:vAlign w:val="bottom"/>
            <w:tcBorders>
              <w:right w:val="single" w:sz="8" w:color="2D53A6"/>
            </w:tcBorders>
            <w:shd w:val="clear" w:color="auto" w:fill="E6E6E6"/>
          </w:tcPr>
          <w:p>
            <w:pPr>
              <w:spacing w:after="0"/>
              <w:rPr>
                <w:sz w:val="18"/>
                <w:szCs w:val="18"/>
                <w:color w:val="auto"/>
              </w:rPr>
            </w:pPr>
          </w:p>
        </w:tc>
        <w:tc>
          <w:tcPr>
            <w:tcW w:w="3680" w:type="dxa"/>
            <w:vAlign w:val="bottom"/>
            <w:tcBorders>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Transaction of other business as may</w:t>
            </w:r>
          </w:p>
        </w:tc>
        <w:tc>
          <w:tcPr>
            <w:tcW w:w="154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0" w:type="dxa"/>
            <w:vAlign w:val="bottom"/>
            <w:tcBorders>
              <w:right w:val="single" w:sz="8" w:color="2D53A6"/>
            </w:tcBorders>
            <w:shd w:val="clear" w:color="auto" w:fill="E6E6E6"/>
          </w:tcPr>
          <w:p>
            <w:pPr>
              <w:spacing w:after="0"/>
              <w:rPr>
                <w:sz w:val="17"/>
                <w:szCs w:val="17"/>
                <w:color w:val="auto"/>
              </w:rPr>
            </w:pPr>
          </w:p>
        </w:tc>
        <w:tc>
          <w:tcPr>
            <w:tcW w:w="3680" w:type="dxa"/>
            <w:vAlign w:val="bottom"/>
            <w:tcBorders>
              <w:right w:val="single" w:sz="8" w:color="2D53A6"/>
            </w:tcBorders>
            <w:shd w:val="clear" w:color="auto" w:fill="E6E6E6"/>
          </w:tcPr>
          <w:p>
            <w:pPr>
              <w:ind w:left="40"/>
              <w:spacing w:after="0" w:line="202" w:lineRule="exact"/>
              <w:rPr>
                <w:sz w:val="20"/>
                <w:szCs w:val="20"/>
                <w:color w:val="auto"/>
              </w:rPr>
            </w:pPr>
            <w:r>
              <w:rPr>
                <w:rFonts w:ascii="Arial" w:cs="Arial" w:eastAsia="Arial" w:hAnsi="Arial"/>
                <w:sz w:val="18"/>
                <w:szCs w:val="18"/>
                <w:color w:val="auto"/>
              </w:rPr>
              <w:t>properly come before the annual meeting</w:t>
            </w:r>
          </w:p>
        </w:tc>
        <w:tc>
          <w:tcPr>
            <w:tcW w:w="154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 w:type="dxa"/>
            <w:vAlign w:val="bottom"/>
            <w:tcBorders>
              <w:right w:val="single" w:sz="8" w:color="2D53A6"/>
            </w:tcBorders>
            <w:shd w:val="clear" w:color="auto" w:fill="E6E6E6"/>
          </w:tcPr>
          <w:p>
            <w:pPr>
              <w:spacing w:after="0"/>
              <w:rPr>
                <w:sz w:val="17"/>
                <w:szCs w:val="17"/>
                <w:color w:val="auto"/>
              </w:rPr>
            </w:pPr>
          </w:p>
        </w:tc>
        <w:tc>
          <w:tcPr>
            <w:tcW w:w="3680" w:type="dxa"/>
            <w:vAlign w:val="bottom"/>
            <w:tcBorders>
              <w:right w:val="single" w:sz="8" w:color="2D53A6"/>
            </w:tcBorders>
            <w:shd w:val="clear" w:color="auto" w:fill="E6E6E6"/>
          </w:tcPr>
          <w:p>
            <w:pPr>
              <w:ind w:left="40"/>
              <w:spacing w:after="0" w:line="202" w:lineRule="exact"/>
              <w:rPr>
                <w:sz w:val="20"/>
                <w:szCs w:val="20"/>
                <w:color w:val="auto"/>
              </w:rPr>
            </w:pPr>
            <w:r>
              <w:rPr>
                <w:rFonts w:ascii="Arial" w:cs="Arial" w:eastAsia="Arial" w:hAnsi="Arial"/>
                <w:sz w:val="18"/>
                <w:szCs w:val="18"/>
                <w:color w:val="auto"/>
              </w:rPr>
              <w:t>(including any adjournment or postponement</w:t>
            </w:r>
          </w:p>
        </w:tc>
        <w:tc>
          <w:tcPr>
            <w:tcW w:w="154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60" w:type="dxa"/>
            <w:vAlign w:val="bottom"/>
            <w:tcBorders>
              <w:bottom w:val="single" w:sz="8" w:color="2D53A6"/>
              <w:right w:val="single" w:sz="8" w:color="2D53A6"/>
            </w:tcBorders>
            <w:shd w:val="clear" w:color="auto" w:fill="E6E6E6"/>
          </w:tcPr>
          <w:p>
            <w:pPr>
              <w:spacing w:after="0"/>
              <w:rPr>
                <w:sz w:val="21"/>
                <w:szCs w:val="21"/>
                <w:color w:val="auto"/>
              </w:rPr>
            </w:pPr>
          </w:p>
        </w:tc>
        <w:tc>
          <w:tcPr>
            <w:tcW w:w="3680" w:type="dxa"/>
            <w:vAlign w:val="bottom"/>
            <w:tcBorders>
              <w:bottom w:val="single" w:sz="8" w:color="2D53A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thereof)</w:t>
            </w:r>
          </w:p>
        </w:tc>
        <w:tc>
          <w:tcPr>
            <w:tcW w:w="1540" w:type="dxa"/>
            <w:vAlign w:val="bottom"/>
            <w:tcBorders>
              <w:bottom w:val="single" w:sz="8" w:color="2D53A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9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Please vote as soon as possible, even if you plan to attend the annual meeting, on all of the voting matters. You have three options for submitting your vote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136525</wp:posOffset>
            </wp:positionV>
            <wp:extent cx="188595"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595" cy="308610"/>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110490</wp:posOffset>
            </wp:positionV>
            <wp:extent cx="27432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4320" cy="240030"/>
                    </a:xfrm>
                    <a:prstGeom prst="rect">
                      <a:avLst/>
                    </a:prstGeom>
                    <a:noFill/>
                  </pic:spPr>
                </pic:pic>
              </a:graphicData>
            </a:graphic>
          </wp:anchor>
        </w:drawing>
        <w:drawing>
          <wp:anchor simplePos="0" relativeHeight="251657728" behindDoc="1" locked="0" layoutInCell="0" allowOverlap="1">
            <wp:simplePos x="0" y="0"/>
            <wp:positionH relativeFrom="column">
              <wp:posOffset>2780665</wp:posOffset>
            </wp:positionH>
            <wp:positionV relativeFrom="paragraph">
              <wp:posOffset>179070</wp:posOffset>
            </wp:positionV>
            <wp:extent cx="291465"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1465" cy="22288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1400" w:type="dxa"/>
            <w:vAlign w:val="bottom"/>
            <w:vMerge w:val="restart"/>
          </w:tcPr>
          <w:p>
            <w:pPr>
              <w:spacing w:after="0"/>
              <w:rPr>
                <w:sz w:val="20"/>
                <w:szCs w:val="20"/>
                <w:color w:val="auto"/>
              </w:rPr>
            </w:pPr>
            <w:r>
              <w:rPr>
                <w:rFonts w:ascii="Arial" w:cs="Arial" w:eastAsia="Arial" w:hAnsi="Arial"/>
                <w:sz w:val="18"/>
                <w:szCs w:val="18"/>
                <w:color w:val="auto"/>
              </w:rPr>
              <w:t>By internet</w:t>
            </w:r>
          </w:p>
        </w:tc>
        <w:tc>
          <w:tcPr>
            <w:tcW w:w="1860" w:type="dxa"/>
            <w:vAlign w:val="bottom"/>
            <w:vMerge w:val="restart"/>
          </w:tcPr>
          <w:p>
            <w:pPr>
              <w:ind w:left="520"/>
              <w:spacing w:after="0"/>
              <w:rPr>
                <w:sz w:val="20"/>
                <w:szCs w:val="20"/>
                <w:color w:val="auto"/>
              </w:rPr>
            </w:pPr>
            <w:r>
              <w:rPr>
                <w:rFonts w:ascii="Arial" w:cs="Arial" w:eastAsia="Arial" w:hAnsi="Arial"/>
                <w:sz w:val="18"/>
                <w:szCs w:val="18"/>
                <w:color w:val="auto"/>
              </w:rPr>
              <w:t>By phone</w:t>
            </w:r>
          </w:p>
        </w:tc>
        <w:tc>
          <w:tcPr>
            <w:tcW w:w="1140" w:type="dxa"/>
            <w:vAlign w:val="bottom"/>
          </w:tcPr>
          <w:p>
            <w:pPr>
              <w:ind w:left="560"/>
              <w:spacing w:after="0"/>
              <w:rPr>
                <w:sz w:val="20"/>
                <w:szCs w:val="20"/>
                <w:color w:val="auto"/>
              </w:rPr>
            </w:pPr>
            <w:r>
              <w:rPr>
                <w:rFonts w:ascii="Arial" w:cs="Arial" w:eastAsia="Arial" w:hAnsi="Arial"/>
                <w:sz w:val="18"/>
                <w:szCs w:val="18"/>
                <w:color w:val="auto"/>
                <w:w w:val="94"/>
              </w:rPr>
              <w:t>By mail</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The proxy statement and the accompanying proxy card provide detailed voting instructions.</w:t>
      </w:r>
    </w:p>
    <w:p>
      <w:pPr>
        <w:spacing w:after="0" w:line="14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b w:val="1"/>
          <w:bCs w:val="1"/>
          <w:color w:val="auto"/>
        </w:rPr>
        <w:t xml:space="preserve">IT IS IMPORTANT THAT YOU VOTE </w:t>
      </w:r>
      <w:r>
        <w:rPr>
          <w:rFonts w:ascii="Arial" w:cs="Arial" w:eastAsia="Arial" w:hAnsi="Arial"/>
          <w:sz w:val="18"/>
          <w:szCs w:val="18"/>
          <w:color w:val="auto"/>
        </w:rPr>
        <w:t>to play a part in the future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Please carefully review the proxy materials for the 2025 Annual Meeting of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Emily R. Lough</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160655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580390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500" w:space="240"/>
            <w:col w:w="5480"/>
          </w:cols>
          <w:pgMar w:left="320" w:top="122"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i w:val="1"/>
          <w:iCs w:val="1"/>
          <w:color w:val="2D53A6"/>
        </w:rPr>
        <w:t>Proxy Statement for 2025 Annual Meeting of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TABLE OF CONTENTS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80" w:type="dxa"/>
            <w:vAlign w:val="bottom"/>
            <w:shd w:val="clear" w:color="auto" w:fill="2D53A6"/>
          </w:tcPr>
          <w:p>
            <w:pPr>
              <w:spacing w:after="0"/>
              <w:rPr>
                <w:sz w:val="20"/>
                <w:szCs w:val="20"/>
                <w:color w:val="auto"/>
              </w:rPr>
            </w:pPr>
            <w:r>
              <w:rPr>
                <w:rFonts w:ascii="Arial" w:cs="Arial" w:eastAsia="Arial" w:hAnsi="Arial"/>
                <w:sz w:val="18"/>
                <w:szCs w:val="18"/>
                <w:b w:val="1"/>
                <w:bCs w:val="1"/>
                <w:color w:val="FFFFFF"/>
              </w:rPr>
              <w:t>Proxy Statement Summary</w:t>
            </w:r>
          </w:p>
        </w:tc>
        <w:tc>
          <w:tcPr>
            <w:tcW w:w="3660" w:type="dxa"/>
            <w:vAlign w:val="bottom"/>
            <w:shd w:val="clear" w:color="auto" w:fill="2D53A6"/>
          </w:tcPr>
          <w:p>
            <w:pPr>
              <w:ind w:left="2080"/>
              <w:spacing w:after="0"/>
              <w:rPr>
                <w:sz w:val="20"/>
                <w:szCs w:val="20"/>
                <w:color w:val="auto"/>
              </w:rPr>
            </w:pPr>
            <w:r>
              <w:rPr>
                <w:rFonts w:ascii="Arial" w:cs="Arial" w:eastAsia="Arial" w:hAnsi="Arial"/>
                <w:sz w:val="18"/>
                <w:szCs w:val="18"/>
                <w:b w:val="1"/>
                <w:bCs w:val="1"/>
                <w:color w:val="FFFFFF"/>
              </w:rPr>
              <w:t>Page 1</w:t>
            </w:r>
          </w:p>
        </w:tc>
      </w:tr>
      <w:tr>
        <w:trPr>
          <w:trHeight w:val="153"/>
        </w:trPr>
        <w:tc>
          <w:tcPr>
            <w:tcW w:w="7580" w:type="dxa"/>
            <w:vAlign w:val="bottom"/>
          </w:tcPr>
          <w:p>
            <w:pPr>
              <w:ind w:left="280"/>
              <w:spacing w:after="0" w:line="153" w:lineRule="exact"/>
              <w:rPr>
                <w:sz w:val="20"/>
                <w:szCs w:val="20"/>
                <w:color w:val="auto"/>
              </w:rPr>
            </w:pPr>
            <w:r>
              <w:rPr>
                <w:rFonts w:ascii="Arial" w:cs="Arial" w:eastAsia="Arial" w:hAnsi="Arial"/>
                <w:sz w:val="14"/>
                <w:szCs w:val="14"/>
                <w:color w:val="auto"/>
              </w:rPr>
              <w:t>About Cohu</w:t>
            </w:r>
          </w:p>
        </w:tc>
        <w:tc>
          <w:tcPr>
            <w:tcW w:w="3660" w:type="dxa"/>
            <w:vAlign w:val="bottom"/>
          </w:tcPr>
          <w:p>
            <w:pPr>
              <w:spacing w:after="0"/>
              <w:rPr>
                <w:sz w:val="13"/>
                <w:szCs w:val="13"/>
                <w:color w:val="auto"/>
              </w:rPr>
            </w:pPr>
          </w:p>
        </w:tc>
      </w:tr>
      <w:tr>
        <w:trPr>
          <w:trHeight w:val="162"/>
        </w:trPr>
        <w:tc>
          <w:tcPr>
            <w:tcW w:w="7580" w:type="dxa"/>
            <w:vAlign w:val="bottom"/>
          </w:tcPr>
          <w:p>
            <w:pPr>
              <w:ind w:left="280"/>
              <w:spacing w:after="0"/>
              <w:rPr>
                <w:sz w:val="20"/>
                <w:szCs w:val="20"/>
                <w:color w:val="auto"/>
              </w:rPr>
            </w:pPr>
            <w:r>
              <w:rPr>
                <w:rFonts w:ascii="Arial" w:cs="Arial" w:eastAsia="Arial" w:hAnsi="Arial"/>
                <w:sz w:val="14"/>
                <w:szCs w:val="14"/>
                <w:color w:val="auto"/>
              </w:rPr>
              <w:t>Fiscal Year 2024 Financial Highlights</w:t>
            </w:r>
          </w:p>
        </w:tc>
        <w:tc>
          <w:tcPr>
            <w:tcW w:w="3660" w:type="dxa"/>
            <w:vAlign w:val="bottom"/>
          </w:tcPr>
          <w:p>
            <w:pPr>
              <w:spacing w:after="0"/>
              <w:rPr>
                <w:sz w:val="14"/>
                <w:szCs w:val="14"/>
                <w:color w:val="auto"/>
              </w:rPr>
            </w:pPr>
          </w:p>
        </w:tc>
      </w:tr>
      <w:tr>
        <w:trPr>
          <w:trHeight w:val="162"/>
        </w:trPr>
        <w:tc>
          <w:tcPr>
            <w:tcW w:w="7580" w:type="dxa"/>
            <w:vAlign w:val="bottom"/>
          </w:tcPr>
          <w:p>
            <w:pPr>
              <w:ind w:left="280"/>
              <w:spacing w:after="0"/>
              <w:rPr>
                <w:sz w:val="20"/>
                <w:szCs w:val="20"/>
                <w:color w:val="auto"/>
              </w:rPr>
            </w:pPr>
            <w:r>
              <w:rPr>
                <w:rFonts w:ascii="Arial" w:cs="Arial" w:eastAsia="Arial" w:hAnsi="Arial"/>
                <w:sz w:val="14"/>
                <w:szCs w:val="14"/>
                <w:color w:val="auto"/>
              </w:rPr>
              <w:t>Proposals and Voting Recommendations</w:t>
            </w:r>
          </w:p>
        </w:tc>
        <w:tc>
          <w:tcPr>
            <w:tcW w:w="3660" w:type="dxa"/>
            <w:vAlign w:val="bottom"/>
          </w:tcPr>
          <w:p>
            <w:pPr>
              <w:spacing w:after="0"/>
              <w:rPr>
                <w:sz w:val="14"/>
                <w:szCs w:val="14"/>
                <w:color w:val="auto"/>
              </w:rPr>
            </w:pPr>
          </w:p>
        </w:tc>
      </w:tr>
      <w:tr>
        <w:trPr>
          <w:trHeight w:val="162"/>
        </w:trPr>
        <w:tc>
          <w:tcPr>
            <w:tcW w:w="7580" w:type="dxa"/>
            <w:vAlign w:val="bottom"/>
          </w:tcPr>
          <w:p>
            <w:pPr>
              <w:ind w:left="280"/>
              <w:spacing w:after="0"/>
              <w:rPr>
                <w:sz w:val="20"/>
                <w:szCs w:val="20"/>
                <w:color w:val="auto"/>
              </w:rPr>
            </w:pPr>
            <w:r>
              <w:rPr>
                <w:rFonts w:ascii="Arial" w:cs="Arial" w:eastAsia="Arial" w:hAnsi="Arial"/>
                <w:sz w:val="14"/>
                <w:szCs w:val="14"/>
                <w:color w:val="auto"/>
              </w:rPr>
              <w:t>Summary Information Regarding our Directors</w:t>
            </w:r>
          </w:p>
        </w:tc>
        <w:tc>
          <w:tcPr>
            <w:tcW w:w="3660" w:type="dxa"/>
            <w:vAlign w:val="bottom"/>
          </w:tcPr>
          <w:p>
            <w:pPr>
              <w:spacing w:after="0"/>
              <w:rPr>
                <w:sz w:val="14"/>
                <w:szCs w:val="14"/>
                <w:color w:val="auto"/>
              </w:rPr>
            </w:pPr>
          </w:p>
        </w:tc>
      </w:tr>
      <w:tr>
        <w:trPr>
          <w:trHeight w:val="162"/>
        </w:trPr>
        <w:tc>
          <w:tcPr>
            <w:tcW w:w="7580" w:type="dxa"/>
            <w:vAlign w:val="bottom"/>
          </w:tcPr>
          <w:p>
            <w:pPr>
              <w:ind w:left="280"/>
              <w:spacing w:after="0"/>
              <w:rPr>
                <w:sz w:val="20"/>
                <w:szCs w:val="20"/>
                <w:color w:val="auto"/>
              </w:rPr>
            </w:pPr>
            <w:r>
              <w:rPr>
                <w:rFonts w:ascii="Arial" w:cs="Arial" w:eastAsia="Arial" w:hAnsi="Arial"/>
                <w:sz w:val="14"/>
                <w:szCs w:val="14"/>
                <w:color w:val="auto"/>
              </w:rPr>
              <w:t>Director Key Requirements, Skills and Experience Highlights</w:t>
            </w:r>
          </w:p>
        </w:tc>
        <w:tc>
          <w:tcPr>
            <w:tcW w:w="3660" w:type="dxa"/>
            <w:vAlign w:val="bottom"/>
          </w:tcPr>
          <w:p>
            <w:pPr>
              <w:spacing w:after="0"/>
              <w:rPr>
                <w:sz w:val="14"/>
                <w:szCs w:val="14"/>
                <w:color w:val="auto"/>
              </w:rPr>
            </w:pPr>
          </w:p>
        </w:tc>
      </w:tr>
      <w:tr>
        <w:trPr>
          <w:trHeight w:val="162"/>
        </w:trPr>
        <w:tc>
          <w:tcPr>
            <w:tcW w:w="7580" w:type="dxa"/>
            <w:vAlign w:val="bottom"/>
          </w:tcPr>
          <w:p>
            <w:pPr>
              <w:ind w:left="280"/>
              <w:spacing w:after="0"/>
              <w:rPr>
                <w:sz w:val="20"/>
                <w:szCs w:val="20"/>
                <w:color w:val="auto"/>
              </w:rPr>
            </w:pPr>
            <w:r>
              <w:rPr>
                <w:rFonts w:ascii="Arial" w:cs="Arial" w:eastAsia="Arial" w:hAnsi="Arial"/>
                <w:sz w:val="14"/>
                <w:szCs w:val="14"/>
                <w:color w:val="auto"/>
              </w:rPr>
              <w:t>Director Demographic Highlights</w:t>
            </w:r>
          </w:p>
        </w:tc>
        <w:tc>
          <w:tcPr>
            <w:tcW w:w="3660" w:type="dxa"/>
            <w:vAlign w:val="bottom"/>
          </w:tcPr>
          <w:p>
            <w:pPr>
              <w:spacing w:after="0"/>
              <w:rPr>
                <w:sz w:val="14"/>
                <w:szCs w:val="14"/>
                <w:color w:val="auto"/>
              </w:rPr>
            </w:pPr>
          </w:p>
        </w:tc>
      </w:tr>
      <w:tr>
        <w:trPr>
          <w:trHeight w:val="162"/>
        </w:trPr>
        <w:tc>
          <w:tcPr>
            <w:tcW w:w="7580" w:type="dxa"/>
            <w:vAlign w:val="bottom"/>
          </w:tcPr>
          <w:p>
            <w:pPr>
              <w:ind w:left="280"/>
              <w:spacing w:after="0"/>
              <w:rPr>
                <w:sz w:val="20"/>
                <w:szCs w:val="20"/>
                <w:color w:val="auto"/>
              </w:rPr>
            </w:pPr>
            <w:r>
              <w:rPr>
                <w:rFonts w:ascii="Arial" w:cs="Arial" w:eastAsia="Arial" w:hAnsi="Arial"/>
                <w:sz w:val="14"/>
                <w:szCs w:val="14"/>
                <w:color w:val="auto"/>
              </w:rPr>
              <w:t>Corporate Governance Highlights</w:t>
            </w:r>
          </w:p>
        </w:tc>
        <w:tc>
          <w:tcPr>
            <w:tcW w:w="3660" w:type="dxa"/>
            <w:vAlign w:val="bottom"/>
          </w:tcPr>
          <w:p>
            <w:pPr>
              <w:spacing w:after="0"/>
              <w:rPr>
                <w:sz w:val="14"/>
                <w:szCs w:val="14"/>
                <w:color w:val="auto"/>
              </w:rPr>
            </w:pPr>
          </w:p>
        </w:tc>
      </w:tr>
      <w:tr>
        <w:trPr>
          <w:trHeight w:val="162"/>
        </w:trPr>
        <w:tc>
          <w:tcPr>
            <w:tcW w:w="7580" w:type="dxa"/>
            <w:vAlign w:val="bottom"/>
          </w:tcPr>
          <w:p>
            <w:pPr>
              <w:ind w:left="280"/>
              <w:spacing w:after="0"/>
              <w:rPr>
                <w:sz w:val="20"/>
                <w:szCs w:val="20"/>
                <w:color w:val="auto"/>
              </w:rPr>
            </w:pPr>
            <w:r>
              <w:rPr>
                <w:rFonts w:ascii="Arial" w:cs="Arial" w:eastAsia="Arial" w:hAnsi="Arial"/>
                <w:sz w:val="14"/>
                <w:szCs w:val="14"/>
                <w:color w:val="auto"/>
              </w:rPr>
              <w:t>Executive Compensation Highlights</w:t>
            </w:r>
          </w:p>
        </w:tc>
        <w:tc>
          <w:tcPr>
            <w:tcW w:w="3660" w:type="dxa"/>
            <w:vAlign w:val="bottom"/>
          </w:tcPr>
          <w:p>
            <w:pPr>
              <w:spacing w:after="0"/>
              <w:rPr>
                <w:sz w:val="14"/>
                <w:szCs w:val="14"/>
                <w:color w:val="auto"/>
              </w:rPr>
            </w:pPr>
          </w:p>
        </w:tc>
      </w:tr>
      <w:tr>
        <w:trPr>
          <w:trHeight w:val="171"/>
        </w:trPr>
        <w:tc>
          <w:tcPr>
            <w:tcW w:w="7580" w:type="dxa"/>
            <w:vAlign w:val="bottom"/>
          </w:tcPr>
          <w:p>
            <w:pPr>
              <w:ind w:left="280"/>
              <w:spacing w:after="0"/>
              <w:rPr>
                <w:sz w:val="20"/>
                <w:szCs w:val="20"/>
                <w:color w:val="auto"/>
              </w:rPr>
            </w:pPr>
            <w:r>
              <w:rPr>
                <w:rFonts w:ascii="Arial" w:cs="Arial" w:eastAsia="Arial" w:hAnsi="Arial"/>
                <w:sz w:val="14"/>
                <w:szCs w:val="14"/>
                <w:color w:val="auto"/>
              </w:rPr>
              <w:t>Sustainability Highlights</w:t>
            </w:r>
          </w:p>
        </w:tc>
        <w:tc>
          <w:tcPr>
            <w:tcW w:w="3660" w:type="dxa"/>
            <w:vAlign w:val="bottom"/>
          </w:tcPr>
          <w:p>
            <w:pPr>
              <w:spacing w:after="0"/>
              <w:rPr>
                <w:sz w:val="14"/>
                <w:szCs w:val="14"/>
                <w:color w:val="auto"/>
              </w:rPr>
            </w:pPr>
          </w:p>
        </w:tc>
      </w:tr>
      <w:tr>
        <w:trPr>
          <w:trHeight w:val="203"/>
        </w:trPr>
        <w:tc>
          <w:tcPr>
            <w:tcW w:w="7580" w:type="dxa"/>
            <w:vAlign w:val="bottom"/>
            <w:shd w:val="clear" w:color="auto" w:fill="2D53A6"/>
          </w:tcPr>
          <w:p>
            <w:pPr>
              <w:spacing w:after="0" w:line="202" w:lineRule="exact"/>
              <w:rPr>
                <w:sz w:val="20"/>
                <w:szCs w:val="20"/>
                <w:color w:val="auto"/>
              </w:rPr>
            </w:pPr>
            <w:r>
              <w:rPr>
                <w:rFonts w:ascii="Arial" w:cs="Arial" w:eastAsia="Arial" w:hAnsi="Arial"/>
                <w:sz w:val="18"/>
                <w:szCs w:val="18"/>
                <w:b w:val="1"/>
                <w:bCs w:val="1"/>
                <w:color w:val="FFFFFF"/>
              </w:rPr>
              <w:t>Stock Ownership</w:t>
            </w:r>
          </w:p>
        </w:tc>
        <w:tc>
          <w:tcPr>
            <w:tcW w:w="3660" w:type="dxa"/>
            <w:vAlign w:val="bottom"/>
            <w:shd w:val="clear" w:color="auto" w:fill="2D53A6"/>
          </w:tcPr>
          <w:p>
            <w:pPr>
              <w:ind w:left="2080"/>
              <w:spacing w:after="0" w:line="202" w:lineRule="exact"/>
              <w:rPr>
                <w:sz w:val="20"/>
                <w:szCs w:val="20"/>
                <w:color w:val="auto"/>
              </w:rPr>
            </w:pPr>
            <w:r>
              <w:rPr>
                <w:rFonts w:ascii="Arial" w:cs="Arial" w:eastAsia="Arial" w:hAnsi="Arial"/>
                <w:sz w:val="18"/>
                <w:szCs w:val="18"/>
                <w:b w:val="1"/>
                <w:bCs w:val="1"/>
                <w:color w:val="FFFFFF"/>
              </w:rPr>
              <w:t>Page 12</w:t>
            </w:r>
          </w:p>
        </w:tc>
      </w:tr>
      <w:tr>
        <w:trPr>
          <w:trHeight w:val="153"/>
        </w:trPr>
        <w:tc>
          <w:tcPr>
            <w:tcW w:w="7580" w:type="dxa"/>
            <w:vAlign w:val="bottom"/>
          </w:tcPr>
          <w:p>
            <w:pPr>
              <w:ind w:left="280"/>
              <w:spacing w:after="0" w:line="153" w:lineRule="exact"/>
              <w:rPr>
                <w:sz w:val="20"/>
                <w:szCs w:val="20"/>
                <w:color w:val="auto"/>
              </w:rPr>
            </w:pPr>
            <w:r>
              <w:rPr>
                <w:rFonts w:ascii="Arial" w:cs="Arial" w:eastAsia="Arial" w:hAnsi="Arial"/>
                <w:sz w:val="14"/>
                <w:szCs w:val="14"/>
                <w:color w:val="auto"/>
              </w:rPr>
              <w:t>Security Ownership of Certain Beneficial Owners and Management</w:t>
            </w:r>
          </w:p>
        </w:tc>
        <w:tc>
          <w:tcPr>
            <w:tcW w:w="3660" w:type="dxa"/>
            <w:vAlign w:val="bottom"/>
          </w:tcPr>
          <w:p>
            <w:pPr>
              <w:spacing w:after="0"/>
              <w:rPr>
                <w:sz w:val="13"/>
                <w:szCs w:val="13"/>
                <w:color w:val="auto"/>
              </w:rPr>
            </w:pPr>
          </w:p>
        </w:tc>
      </w:tr>
      <w:tr>
        <w:trPr>
          <w:trHeight w:val="171"/>
        </w:trPr>
        <w:tc>
          <w:tcPr>
            <w:tcW w:w="7580" w:type="dxa"/>
            <w:vAlign w:val="bottom"/>
          </w:tcPr>
          <w:p>
            <w:pPr>
              <w:ind w:left="280"/>
              <w:spacing w:after="0"/>
              <w:rPr>
                <w:sz w:val="20"/>
                <w:szCs w:val="20"/>
                <w:color w:val="auto"/>
              </w:rPr>
            </w:pPr>
            <w:r>
              <w:rPr>
                <w:rFonts w:ascii="Arial" w:cs="Arial" w:eastAsia="Arial" w:hAnsi="Arial"/>
                <w:sz w:val="14"/>
                <w:szCs w:val="14"/>
                <w:color w:val="auto"/>
              </w:rPr>
              <w:t>Delinquent Section 16(a) Reports</w:t>
            </w:r>
          </w:p>
        </w:tc>
        <w:tc>
          <w:tcPr>
            <w:tcW w:w="3660" w:type="dxa"/>
            <w:vAlign w:val="bottom"/>
          </w:tcPr>
          <w:p>
            <w:pPr>
              <w:spacing w:after="0"/>
              <w:rPr>
                <w:sz w:val="14"/>
                <w:szCs w:val="14"/>
                <w:color w:val="auto"/>
              </w:rPr>
            </w:pPr>
          </w:p>
        </w:tc>
      </w:tr>
      <w:tr>
        <w:trPr>
          <w:trHeight w:val="203"/>
        </w:trPr>
        <w:tc>
          <w:tcPr>
            <w:tcW w:w="7580" w:type="dxa"/>
            <w:vAlign w:val="bottom"/>
            <w:shd w:val="clear" w:color="auto" w:fill="2D53A6"/>
          </w:tcPr>
          <w:p>
            <w:pPr>
              <w:spacing w:after="0" w:line="202" w:lineRule="exact"/>
              <w:rPr>
                <w:sz w:val="20"/>
                <w:szCs w:val="20"/>
                <w:color w:val="auto"/>
              </w:rPr>
            </w:pPr>
            <w:r>
              <w:rPr>
                <w:rFonts w:ascii="Arial" w:cs="Arial" w:eastAsia="Arial" w:hAnsi="Arial"/>
                <w:sz w:val="18"/>
                <w:szCs w:val="18"/>
                <w:b w:val="1"/>
                <w:bCs w:val="1"/>
                <w:color w:val="FFFFFF"/>
              </w:rPr>
              <w:t>Governance Matters</w:t>
            </w:r>
          </w:p>
        </w:tc>
        <w:tc>
          <w:tcPr>
            <w:tcW w:w="3660" w:type="dxa"/>
            <w:vAlign w:val="bottom"/>
            <w:shd w:val="clear" w:color="auto" w:fill="2D53A6"/>
          </w:tcPr>
          <w:p>
            <w:pPr>
              <w:ind w:left="2080"/>
              <w:spacing w:after="0" w:line="202" w:lineRule="exact"/>
              <w:rPr>
                <w:sz w:val="20"/>
                <w:szCs w:val="20"/>
                <w:color w:val="auto"/>
              </w:rPr>
            </w:pPr>
            <w:r>
              <w:rPr>
                <w:rFonts w:ascii="Arial" w:cs="Arial" w:eastAsia="Arial" w:hAnsi="Arial"/>
                <w:sz w:val="18"/>
                <w:szCs w:val="18"/>
                <w:b w:val="1"/>
                <w:bCs w:val="1"/>
                <w:color w:val="FFFFFF"/>
              </w:rPr>
              <w:t>Page 13</w:t>
            </w:r>
          </w:p>
        </w:tc>
      </w:tr>
      <w:tr>
        <w:trPr>
          <w:trHeight w:val="153"/>
        </w:trPr>
        <w:tc>
          <w:tcPr>
            <w:tcW w:w="7580" w:type="dxa"/>
            <w:vAlign w:val="bottom"/>
          </w:tcPr>
          <w:p>
            <w:pPr>
              <w:ind w:left="280"/>
              <w:spacing w:after="0" w:line="153" w:lineRule="exact"/>
              <w:rPr>
                <w:sz w:val="20"/>
                <w:szCs w:val="20"/>
                <w:color w:val="auto"/>
              </w:rPr>
            </w:pPr>
            <w:r>
              <w:rPr>
                <w:rFonts w:ascii="Arial" w:cs="Arial" w:eastAsia="Arial" w:hAnsi="Arial"/>
                <w:sz w:val="14"/>
                <w:szCs w:val="14"/>
                <w:color w:val="auto"/>
              </w:rPr>
              <w:t>Corporate Governance</w:t>
            </w:r>
          </w:p>
        </w:tc>
        <w:tc>
          <w:tcPr>
            <w:tcW w:w="3660" w:type="dxa"/>
            <w:vAlign w:val="bottom"/>
          </w:tcPr>
          <w:p>
            <w:pPr>
              <w:spacing w:after="0"/>
              <w:rPr>
                <w:sz w:val="13"/>
                <w:szCs w:val="13"/>
                <w:color w:val="auto"/>
              </w:rPr>
            </w:pPr>
          </w:p>
        </w:tc>
      </w:tr>
      <w:tr>
        <w:trPr>
          <w:trHeight w:val="162"/>
        </w:trPr>
        <w:tc>
          <w:tcPr>
            <w:tcW w:w="7580" w:type="dxa"/>
            <w:vAlign w:val="bottom"/>
          </w:tcPr>
          <w:p>
            <w:pPr>
              <w:ind w:left="280"/>
              <w:spacing w:after="0"/>
              <w:rPr>
                <w:sz w:val="20"/>
                <w:szCs w:val="20"/>
                <w:color w:val="auto"/>
              </w:rPr>
            </w:pPr>
            <w:r>
              <w:rPr>
                <w:rFonts w:ascii="Arial" w:cs="Arial" w:eastAsia="Arial" w:hAnsi="Arial"/>
                <w:sz w:val="14"/>
                <w:szCs w:val="14"/>
                <w:color w:val="auto"/>
              </w:rPr>
              <w:t>Board of Directors and Committees</w:t>
            </w:r>
          </w:p>
        </w:tc>
        <w:tc>
          <w:tcPr>
            <w:tcW w:w="3660" w:type="dxa"/>
            <w:vAlign w:val="bottom"/>
          </w:tcPr>
          <w:p>
            <w:pPr>
              <w:spacing w:after="0"/>
              <w:rPr>
                <w:sz w:val="14"/>
                <w:szCs w:val="14"/>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Director Independence</w:t>
            </w:r>
          </w:p>
        </w:tc>
        <w:tc>
          <w:tcPr>
            <w:tcW w:w="3660" w:type="dxa"/>
            <w:vAlign w:val="bottom"/>
          </w:tcPr>
          <w:p>
            <w:pPr>
              <w:spacing w:after="0"/>
              <w:rPr>
                <w:sz w:val="14"/>
                <w:szCs w:val="14"/>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Board Structure and Committee Composition</w:t>
            </w:r>
          </w:p>
        </w:tc>
        <w:tc>
          <w:tcPr>
            <w:tcW w:w="3660" w:type="dxa"/>
            <w:vAlign w:val="bottom"/>
          </w:tcPr>
          <w:p>
            <w:pPr>
              <w:spacing w:after="0"/>
              <w:rPr>
                <w:sz w:val="14"/>
                <w:szCs w:val="14"/>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Audit Committee</w:t>
            </w:r>
          </w:p>
        </w:tc>
        <w:tc>
          <w:tcPr>
            <w:tcW w:w="3660" w:type="dxa"/>
            <w:vAlign w:val="bottom"/>
          </w:tcPr>
          <w:p>
            <w:pPr>
              <w:spacing w:after="0"/>
              <w:rPr>
                <w:sz w:val="14"/>
                <w:szCs w:val="14"/>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Compensation Committee</w:t>
            </w:r>
          </w:p>
        </w:tc>
        <w:tc>
          <w:tcPr>
            <w:tcW w:w="3660" w:type="dxa"/>
            <w:vAlign w:val="bottom"/>
          </w:tcPr>
          <w:p>
            <w:pPr>
              <w:spacing w:after="0"/>
              <w:rPr>
                <w:sz w:val="14"/>
                <w:szCs w:val="14"/>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Nominating and Governance Committee</w:t>
            </w:r>
          </w:p>
        </w:tc>
        <w:tc>
          <w:tcPr>
            <w:tcW w:w="3660" w:type="dxa"/>
            <w:vAlign w:val="bottom"/>
          </w:tcPr>
          <w:p>
            <w:pPr>
              <w:spacing w:after="0"/>
              <w:rPr>
                <w:sz w:val="14"/>
                <w:szCs w:val="14"/>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Board Leadership Structure</w:t>
            </w:r>
          </w:p>
        </w:tc>
        <w:tc>
          <w:tcPr>
            <w:tcW w:w="3660" w:type="dxa"/>
            <w:vAlign w:val="bottom"/>
          </w:tcPr>
          <w:p>
            <w:pPr>
              <w:spacing w:after="0"/>
              <w:rPr>
                <w:sz w:val="14"/>
                <w:szCs w:val="14"/>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Risk Oversight</w:t>
            </w:r>
          </w:p>
        </w:tc>
        <w:tc>
          <w:tcPr>
            <w:tcW w:w="3660" w:type="dxa"/>
            <w:vAlign w:val="bottom"/>
          </w:tcPr>
          <w:p>
            <w:pPr>
              <w:spacing w:after="0"/>
              <w:rPr>
                <w:sz w:val="14"/>
                <w:szCs w:val="14"/>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Stockholder Nominees</w:t>
            </w:r>
          </w:p>
        </w:tc>
        <w:tc>
          <w:tcPr>
            <w:tcW w:w="3660" w:type="dxa"/>
            <w:vAlign w:val="bottom"/>
          </w:tcPr>
          <w:p>
            <w:pPr>
              <w:spacing w:after="0"/>
              <w:rPr>
                <w:sz w:val="14"/>
                <w:szCs w:val="14"/>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Director Qualifications</w:t>
            </w:r>
          </w:p>
        </w:tc>
        <w:tc>
          <w:tcPr>
            <w:tcW w:w="3660" w:type="dxa"/>
            <w:vAlign w:val="bottom"/>
          </w:tcPr>
          <w:p>
            <w:pPr>
              <w:spacing w:after="0"/>
              <w:rPr>
                <w:sz w:val="14"/>
                <w:szCs w:val="14"/>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Identifying and Evaluating Nominees for Directors</w:t>
            </w:r>
          </w:p>
        </w:tc>
        <w:tc>
          <w:tcPr>
            <w:tcW w:w="3660" w:type="dxa"/>
            <w:vAlign w:val="bottom"/>
          </w:tcPr>
          <w:p>
            <w:pPr>
              <w:spacing w:after="0"/>
              <w:rPr>
                <w:sz w:val="14"/>
                <w:szCs w:val="14"/>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Executive Sessions</w:t>
            </w:r>
          </w:p>
        </w:tc>
        <w:tc>
          <w:tcPr>
            <w:tcW w:w="3660" w:type="dxa"/>
            <w:vAlign w:val="bottom"/>
          </w:tcPr>
          <w:p>
            <w:pPr>
              <w:spacing w:after="0"/>
              <w:rPr>
                <w:sz w:val="14"/>
                <w:szCs w:val="14"/>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Communications with the Board</w:t>
            </w:r>
          </w:p>
        </w:tc>
        <w:tc>
          <w:tcPr>
            <w:tcW w:w="3660" w:type="dxa"/>
            <w:vAlign w:val="bottom"/>
          </w:tcPr>
          <w:p>
            <w:pPr>
              <w:spacing w:after="0"/>
              <w:rPr>
                <w:sz w:val="14"/>
                <w:szCs w:val="14"/>
                <w:color w:val="auto"/>
              </w:rPr>
            </w:pPr>
          </w:p>
        </w:tc>
      </w:tr>
      <w:tr>
        <w:trPr>
          <w:trHeight w:val="171"/>
        </w:trPr>
        <w:tc>
          <w:tcPr>
            <w:tcW w:w="7580" w:type="dxa"/>
            <w:vAlign w:val="bottom"/>
          </w:tcPr>
          <w:p>
            <w:pPr>
              <w:ind w:left="420"/>
              <w:spacing w:after="0"/>
              <w:rPr>
                <w:sz w:val="20"/>
                <w:szCs w:val="20"/>
                <w:color w:val="auto"/>
              </w:rPr>
            </w:pPr>
            <w:r>
              <w:rPr>
                <w:rFonts w:ascii="Arial" w:cs="Arial" w:eastAsia="Arial" w:hAnsi="Arial"/>
                <w:sz w:val="14"/>
                <w:szCs w:val="14"/>
                <w:color w:val="auto"/>
              </w:rPr>
              <w:t>Compensation of Directors</w:t>
            </w:r>
          </w:p>
        </w:tc>
        <w:tc>
          <w:tcPr>
            <w:tcW w:w="3660" w:type="dxa"/>
            <w:vAlign w:val="bottom"/>
          </w:tcPr>
          <w:p>
            <w:pPr>
              <w:spacing w:after="0"/>
              <w:rPr>
                <w:sz w:val="14"/>
                <w:szCs w:val="14"/>
                <w:color w:val="auto"/>
              </w:rPr>
            </w:pPr>
          </w:p>
        </w:tc>
      </w:tr>
      <w:tr>
        <w:trPr>
          <w:trHeight w:val="203"/>
        </w:trPr>
        <w:tc>
          <w:tcPr>
            <w:tcW w:w="7580" w:type="dxa"/>
            <w:vAlign w:val="bottom"/>
            <w:shd w:val="clear" w:color="auto" w:fill="2D53A6"/>
          </w:tcPr>
          <w:p>
            <w:pPr>
              <w:spacing w:after="0" w:line="202" w:lineRule="exact"/>
              <w:rPr>
                <w:sz w:val="20"/>
                <w:szCs w:val="20"/>
                <w:color w:val="auto"/>
              </w:rPr>
            </w:pPr>
            <w:r>
              <w:rPr>
                <w:rFonts w:ascii="Arial" w:cs="Arial" w:eastAsia="Arial" w:hAnsi="Arial"/>
                <w:sz w:val="18"/>
                <w:szCs w:val="18"/>
                <w:b w:val="1"/>
                <w:bCs w:val="1"/>
                <w:color w:val="FFFFFF"/>
              </w:rPr>
              <w:t>Compensation Matters</w:t>
            </w:r>
          </w:p>
        </w:tc>
        <w:tc>
          <w:tcPr>
            <w:tcW w:w="3660" w:type="dxa"/>
            <w:vAlign w:val="bottom"/>
            <w:shd w:val="clear" w:color="auto" w:fill="2D53A6"/>
          </w:tcPr>
          <w:p>
            <w:pPr>
              <w:ind w:left="2080"/>
              <w:spacing w:after="0" w:line="202" w:lineRule="exact"/>
              <w:rPr>
                <w:sz w:val="20"/>
                <w:szCs w:val="20"/>
                <w:color w:val="auto"/>
              </w:rPr>
            </w:pPr>
            <w:r>
              <w:rPr>
                <w:rFonts w:ascii="Arial" w:cs="Arial" w:eastAsia="Arial" w:hAnsi="Arial"/>
                <w:sz w:val="18"/>
                <w:szCs w:val="18"/>
                <w:b w:val="1"/>
                <w:bCs w:val="1"/>
                <w:color w:val="FFFFFF"/>
              </w:rPr>
              <w:t>Page 22</w:t>
            </w:r>
          </w:p>
        </w:tc>
      </w:tr>
      <w:tr>
        <w:trPr>
          <w:trHeight w:val="153"/>
        </w:trPr>
        <w:tc>
          <w:tcPr>
            <w:tcW w:w="7580" w:type="dxa"/>
            <w:vAlign w:val="bottom"/>
          </w:tcPr>
          <w:p>
            <w:pPr>
              <w:ind w:left="280"/>
              <w:spacing w:after="0" w:line="153" w:lineRule="exact"/>
              <w:rPr>
                <w:sz w:val="20"/>
                <w:szCs w:val="20"/>
                <w:color w:val="auto"/>
              </w:rPr>
            </w:pPr>
            <w:r>
              <w:rPr>
                <w:rFonts w:ascii="Arial" w:cs="Arial" w:eastAsia="Arial" w:hAnsi="Arial"/>
                <w:sz w:val="14"/>
                <w:szCs w:val="14"/>
                <w:color w:val="auto"/>
              </w:rPr>
              <w:t>Executive Compensation and Other Information</w:t>
            </w:r>
          </w:p>
        </w:tc>
        <w:tc>
          <w:tcPr>
            <w:tcW w:w="3660" w:type="dxa"/>
            <w:vAlign w:val="bottom"/>
          </w:tcPr>
          <w:p>
            <w:pPr>
              <w:spacing w:after="0"/>
              <w:rPr>
                <w:sz w:val="13"/>
                <w:szCs w:val="13"/>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Compensation Discussion and Analysis</w:t>
            </w:r>
          </w:p>
        </w:tc>
        <w:tc>
          <w:tcPr>
            <w:tcW w:w="3660" w:type="dxa"/>
            <w:vAlign w:val="bottom"/>
          </w:tcPr>
          <w:p>
            <w:pPr>
              <w:spacing w:after="0"/>
              <w:rPr>
                <w:sz w:val="14"/>
                <w:szCs w:val="14"/>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Executive Summary</w:t>
            </w:r>
          </w:p>
        </w:tc>
        <w:tc>
          <w:tcPr>
            <w:tcW w:w="3660" w:type="dxa"/>
            <w:vAlign w:val="bottom"/>
          </w:tcPr>
          <w:p>
            <w:pPr>
              <w:spacing w:after="0"/>
              <w:rPr>
                <w:sz w:val="14"/>
                <w:szCs w:val="14"/>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Compensation Philosophy</w:t>
            </w:r>
          </w:p>
        </w:tc>
        <w:tc>
          <w:tcPr>
            <w:tcW w:w="3660" w:type="dxa"/>
            <w:vAlign w:val="bottom"/>
          </w:tcPr>
          <w:p>
            <w:pPr>
              <w:spacing w:after="0"/>
              <w:rPr>
                <w:sz w:val="14"/>
                <w:szCs w:val="14"/>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Compensation-Setting Process</w:t>
            </w:r>
          </w:p>
        </w:tc>
        <w:tc>
          <w:tcPr>
            <w:tcW w:w="3660" w:type="dxa"/>
            <w:vAlign w:val="bottom"/>
          </w:tcPr>
          <w:p>
            <w:pPr>
              <w:spacing w:after="0"/>
              <w:rPr>
                <w:sz w:val="14"/>
                <w:szCs w:val="14"/>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Compensation Elements</w:t>
            </w:r>
          </w:p>
        </w:tc>
        <w:tc>
          <w:tcPr>
            <w:tcW w:w="3660" w:type="dxa"/>
            <w:vAlign w:val="bottom"/>
          </w:tcPr>
          <w:p>
            <w:pPr>
              <w:spacing w:after="0"/>
              <w:rPr>
                <w:sz w:val="14"/>
                <w:szCs w:val="14"/>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Post-Employment Compensation</w:t>
            </w:r>
          </w:p>
        </w:tc>
        <w:tc>
          <w:tcPr>
            <w:tcW w:w="3660" w:type="dxa"/>
            <w:vAlign w:val="bottom"/>
          </w:tcPr>
          <w:p>
            <w:pPr>
              <w:spacing w:after="0"/>
              <w:rPr>
                <w:sz w:val="14"/>
                <w:szCs w:val="14"/>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Other Compensation Policies</w:t>
            </w:r>
          </w:p>
        </w:tc>
        <w:tc>
          <w:tcPr>
            <w:tcW w:w="3660" w:type="dxa"/>
            <w:vAlign w:val="bottom"/>
          </w:tcPr>
          <w:p>
            <w:pPr>
              <w:spacing w:after="0"/>
              <w:rPr>
                <w:sz w:val="14"/>
                <w:szCs w:val="14"/>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Tax and Accounting Considerations</w:t>
            </w:r>
          </w:p>
        </w:tc>
        <w:tc>
          <w:tcPr>
            <w:tcW w:w="3660" w:type="dxa"/>
            <w:vAlign w:val="bottom"/>
          </w:tcPr>
          <w:p>
            <w:pPr>
              <w:spacing w:after="0"/>
              <w:rPr>
                <w:sz w:val="14"/>
                <w:szCs w:val="14"/>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Compensation Committee Report</w:t>
            </w:r>
          </w:p>
        </w:tc>
        <w:tc>
          <w:tcPr>
            <w:tcW w:w="3660" w:type="dxa"/>
            <w:vAlign w:val="bottom"/>
          </w:tcPr>
          <w:p>
            <w:pPr>
              <w:spacing w:after="0"/>
              <w:rPr>
                <w:sz w:val="14"/>
                <w:szCs w:val="14"/>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Executive Compensation Tables</w:t>
            </w:r>
          </w:p>
        </w:tc>
        <w:tc>
          <w:tcPr>
            <w:tcW w:w="3660" w:type="dxa"/>
            <w:vAlign w:val="bottom"/>
          </w:tcPr>
          <w:p>
            <w:pPr>
              <w:spacing w:after="0"/>
              <w:rPr>
                <w:sz w:val="14"/>
                <w:szCs w:val="14"/>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Pay Versus Performance</w:t>
            </w:r>
          </w:p>
        </w:tc>
        <w:tc>
          <w:tcPr>
            <w:tcW w:w="3660" w:type="dxa"/>
            <w:vAlign w:val="bottom"/>
          </w:tcPr>
          <w:p>
            <w:pPr>
              <w:spacing w:after="0"/>
              <w:rPr>
                <w:sz w:val="14"/>
                <w:szCs w:val="14"/>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CEO Pay Ratio</w:t>
            </w:r>
          </w:p>
        </w:tc>
        <w:tc>
          <w:tcPr>
            <w:tcW w:w="3660" w:type="dxa"/>
            <w:vAlign w:val="bottom"/>
          </w:tcPr>
          <w:p>
            <w:pPr>
              <w:spacing w:after="0"/>
              <w:rPr>
                <w:sz w:val="14"/>
                <w:szCs w:val="14"/>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Equity Compensation Awards and Plan Information</w:t>
            </w:r>
          </w:p>
        </w:tc>
        <w:tc>
          <w:tcPr>
            <w:tcW w:w="3660" w:type="dxa"/>
            <w:vAlign w:val="bottom"/>
          </w:tcPr>
          <w:p>
            <w:pPr>
              <w:spacing w:after="0"/>
              <w:rPr>
                <w:sz w:val="14"/>
                <w:szCs w:val="14"/>
                <w:color w:val="auto"/>
              </w:rPr>
            </w:pPr>
          </w:p>
        </w:tc>
      </w:tr>
      <w:tr>
        <w:trPr>
          <w:trHeight w:val="171"/>
        </w:trPr>
        <w:tc>
          <w:tcPr>
            <w:tcW w:w="7580" w:type="dxa"/>
            <w:vAlign w:val="bottom"/>
          </w:tcPr>
          <w:p>
            <w:pPr>
              <w:ind w:left="420"/>
              <w:spacing w:after="0"/>
              <w:rPr>
                <w:sz w:val="20"/>
                <w:szCs w:val="20"/>
                <w:color w:val="auto"/>
              </w:rPr>
            </w:pPr>
            <w:r>
              <w:rPr>
                <w:rFonts w:ascii="Arial" w:cs="Arial" w:eastAsia="Arial" w:hAnsi="Arial"/>
                <w:sz w:val="14"/>
                <w:szCs w:val="14"/>
                <w:color w:val="auto"/>
              </w:rPr>
              <w:t>Potential Payments Upon Termination or Change in Control</w:t>
            </w:r>
          </w:p>
        </w:tc>
        <w:tc>
          <w:tcPr>
            <w:tcW w:w="3660" w:type="dxa"/>
            <w:vAlign w:val="bottom"/>
          </w:tcPr>
          <w:p>
            <w:pPr>
              <w:spacing w:after="0"/>
              <w:rPr>
                <w:sz w:val="14"/>
                <w:szCs w:val="14"/>
                <w:color w:val="auto"/>
              </w:rPr>
            </w:pPr>
          </w:p>
        </w:tc>
      </w:tr>
      <w:tr>
        <w:trPr>
          <w:trHeight w:val="203"/>
        </w:trPr>
        <w:tc>
          <w:tcPr>
            <w:tcW w:w="7580" w:type="dxa"/>
            <w:vAlign w:val="bottom"/>
            <w:shd w:val="clear" w:color="auto" w:fill="2D53A6"/>
          </w:tcPr>
          <w:p>
            <w:pPr>
              <w:spacing w:after="0" w:line="202" w:lineRule="exact"/>
              <w:rPr>
                <w:sz w:val="20"/>
                <w:szCs w:val="20"/>
                <w:color w:val="auto"/>
              </w:rPr>
            </w:pPr>
            <w:r>
              <w:rPr>
                <w:rFonts w:ascii="Arial" w:cs="Arial" w:eastAsia="Arial" w:hAnsi="Arial"/>
                <w:sz w:val="18"/>
                <w:szCs w:val="18"/>
                <w:b w:val="1"/>
                <w:bCs w:val="1"/>
                <w:color w:val="FFFFFF"/>
              </w:rPr>
              <w:t>Audit Matters</w:t>
            </w:r>
          </w:p>
        </w:tc>
        <w:tc>
          <w:tcPr>
            <w:tcW w:w="3660" w:type="dxa"/>
            <w:vAlign w:val="bottom"/>
            <w:shd w:val="clear" w:color="auto" w:fill="2D53A6"/>
          </w:tcPr>
          <w:p>
            <w:pPr>
              <w:ind w:left="2080"/>
              <w:spacing w:after="0" w:line="202" w:lineRule="exact"/>
              <w:rPr>
                <w:sz w:val="20"/>
                <w:szCs w:val="20"/>
                <w:color w:val="auto"/>
              </w:rPr>
            </w:pPr>
            <w:r>
              <w:rPr>
                <w:rFonts w:ascii="Arial" w:cs="Arial" w:eastAsia="Arial" w:hAnsi="Arial"/>
                <w:sz w:val="18"/>
                <w:szCs w:val="18"/>
                <w:b w:val="1"/>
                <w:bCs w:val="1"/>
                <w:color w:val="FFFFFF"/>
              </w:rPr>
              <w:t>Page 51</w:t>
            </w:r>
          </w:p>
        </w:tc>
      </w:tr>
      <w:tr>
        <w:trPr>
          <w:trHeight w:val="153"/>
        </w:trPr>
        <w:tc>
          <w:tcPr>
            <w:tcW w:w="7580" w:type="dxa"/>
            <w:vAlign w:val="bottom"/>
          </w:tcPr>
          <w:p>
            <w:pPr>
              <w:ind w:left="280"/>
              <w:spacing w:after="0" w:line="153" w:lineRule="exact"/>
              <w:rPr>
                <w:sz w:val="20"/>
                <w:szCs w:val="20"/>
                <w:color w:val="auto"/>
              </w:rPr>
            </w:pPr>
            <w:r>
              <w:rPr>
                <w:rFonts w:ascii="Arial" w:cs="Arial" w:eastAsia="Arial" w:hAnsi="Arial"/>
                <w:sz w:val="14"/>
                <w:szCs w:val="14"/>
                <w:color w:val="auto"/>
              </w:rPr>
              <w:t>Audit Committee Report</w:t>
            </w:r>
          </w:p>
        </w:tc>
        <w:tc>
          <w:tcPr>
            <w:tcW w:w="3660" w:type="dxa"/>
            <w:vAlign w:val="bottom"/>
          </w:tcPr>
          <w:p>
            <w:pPr>
              <w:spacing w:after="0"/>
              <w:rPr>
                <w:sz w:val="13"/>
                <w:szCs w:val="13"/>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Principal Accounting Fees and Services</w:t>
            </w:r>
          </w:p>
        </w:tc>
        <w:tc>
          <w:tcPr>
            <w:tcW w:w="3660" w:type="dxa"/>
            <w:vAlign w:val="bottom"/>
          </w:tcPr>
          <w:p>
            <w:pPr>
              <w:spacing w:after="0"/>
              <w:rPr>
                <w:sz w:val="14"/>
                <w:szCs w:val="14"/>
                <w:color w:val="auto"/>
              </w:rPr>
            </w:pPr>
          </w:p>
        </w:tc>
      </w:tr>
      <w:tr>
        <w:trPr>
          <w:trHeight w:val="162"/>
        </w:trPr>
        <w:tc>
          <w:tcPr>
            <w:tcW w:w="7580" w:type="dxa"/>
            <w:vAlign w:val="bottom"/>
          </w:tcPr>
          <w:p>
            <w:pPr>
              <w:ind w:left="420"/>
              <w:spacing w:after="0"/>
              <w:rPr>
                <w:sz w:val="20"/>
                <w:szCs w:val="20"/>
                <w:color w:val="auto"/>
              </w:rPr>
            </w:pPr>
            <w:r>
              <w:rPr>
                <w:rFonts w:ascii="Arial" w:cs="Arial" w:eastAsia="Arial" w:hAnsi="Arial"/>
                <w:sz w:val="14"/>
                <w:szCs w:val="14"/>
                <w:color w:val="auto"/>
              </w:rPr>
              <w:t>Certain Relationships and Related Party Transactions</w:t>
            </w:r>
          </w:p>
        </w:tc>
        <w:tc>
          <w:tcPr>
            <w:tcW w:w="3660" w:type="dxa"/>
            <w:vAlign w:val="bottom"/>
          </w:tcPr>
          <w:p>
            <w:pPr>
              <w:spacing w:after="0"/>
              <w:rPr>
                <w:sz w:val="14"/>
                <w:szCs w:val="14"/>
                <w:color w:val="auto"/>
              </w:rPr>
            </w:pPr>
          </w:p>
        </w:tc>
      </w:tr>
      <w:tr>
        <w:trPr>
          <w:trHeight w:val="162"/>
        </w:trPr>
        <w:tc>
          <w:tcPr>
            <w:tcW w:w="7580" w:type="dxa"/>
            <w:vAlign w:val="bottom"/>
          </w:tcPr>
          <w:p>
            <w:pPr>
              <w:ind w:left="280"/>
              <w:spacing w:after="0"/>
              <w:rPr>
                <w:sz w:val="20"/>
                <w:szCs w:val="20"/>
                <w:color w:val="auto"/>
              </w:rPr>
            </w:pPr>
            <w:r>
              <w:rPr>
                <w:rFonts w:ascii="Arial" w:cs="Arial" w:eastAsia="Arial" w:hAnsi="Arial"/>
                <w:sz w:val="14"/>
                <w:szCs w:val="14"/>
                <w:color w:val="auto"/>
              </w:rPr>
              <w:t>Proposal No. 1: Election of Directors</w:t>
            </w:r>
          </w:p>
        </w:tc>
        <w:tc>
          <w:tcPr>
            <w:tcW w:w="3660" w:type="dxa"/>
            <w:vAlign w:val="bottom"/>
          </w:tcPr>
          <w:p>
            <w:pPr>
              <w:spacing w:after="0"/>
              <w:rPr>
                <w:sz w:val="14"/>
                <w:szCs w:val="14"/>
                <w:color w:val="auto"/>
              </w:rPr>
            </w:pPr>
          </w:p>
        </w:tc>
      </w:tr>
      <w:tr>
        <w:trPr>
          <w:trHeight w:val="162"/>
        </w:trPr>
        <w:tc>
          <w:tcPr>
            <w:tcW w:w="7580" w:type="dxa"/>
            <w:vAlign w:val="bottom"/>
          </w:tcPr>
          <w:p>
            <w:pPr>
              <w:ind w:left="280"/>
              <w:spacing w:after="0"/>
              <w:rPr>
                <w:sz w:val="20"/>
                <w:szCs w:val="20"/>
                <w:color w:val="auto"/>
              </w:rPr>
            </w:pPr>
            <w:r>
              <w:rPr>
                <w:rFonts w:ascii="Arial" w:cs="Arial" w:eastAsia="Arial" w:hAnsi="Arial"/>
                <w:sz w:val="14"/>
                <w:szCs w:val="14"/>
                <w:color w:val="auto"/>
              </w:rPr>
              <w:t>Proposal No. 2: Advisory vote to approve Named Executive Officer Compensation</w:t>
            </w:r>
          </w:p>
        </w:tc>
        <w:tc>
          <w:tcPr>
            <w:tcW w:w="3660" w:type="dxa"/>
            <w:vAlign w:val="bottom"/>
          </w:tcPr>
          <w:p>
            <w:pPr>
              <w:spacing w:after="0"/>
              <w:rPr>
                <w:sz w:val="14"/>
                <w:szCs w:val="14"/>
                <w:color w:val="auto"/>
              </w:rPr>
            </w:pPr>
          </w:p>
        </w:tc>
      </w:tr>
      <w:tr>
        <w:trPr>
          <w:trHeight w:val="171"/>
        </w:trPr>
        <w:tc>
          <w:tcPr>
            <w:tcW w:w="7580" w:type="dxa"/>
            <w:vAlign w:val="bottom"/>
          </w:tcPr>
          <w:p>
            <w:pPr>
              <w:ind w:left="280"/>
              <w:spacing w:after="0"/>
              <w:rPr>
                <w:sz w:val="20"/>
                <w:szCs w:val="20"/>
                <w:color w:val="auto"/>
              </w:rPr>
            </w:pPr>
            <w:r>
              <w:rPr>
                <w:rFonts w:ascii="Arial" w:cs="Arial" w:eastAsia="Arial" w:hAnsi="Arial"/>
                <w:sz w:val="14"/>
                <w:szCs w:val="14"/>
                <w:color w:val="auto"/>
              </w:rPr>
              <w:t>Proposal No. 3: Ratification of Independent Registered Public Accounting Firm</w:t>
            </w:r>
          </w:p>
        </w:tc>
        <w:tc>
          <w:tcPr>
            <w:tcW w:w="3660" w:type="dxa"/>
            <w:vAlign w:val="bottom"/>
          </w:tcPr>
          <w:p>
            <w:pPr>
              <w:spacing w:after="0"/>
              <w:rPr>
                <w:sz w:val="14"/>
                <w:szCs w:val="14"/>
                <w:color w:val="auto"/>
              </w:rPr>
            </w:pPr>
          </w:p>
        </w:tc>
      </w:tr>
      <w:tr>
        <w:trPr>
          <w:trHeight w:val="203"/>
        </w:trPr>
        <w:tc>
          <w:tcPr>
            <w:tcW w:w="7580" w:type="dxa"/>
            <w:vAlign w:val="bottom"/>
            <w:shd w:val="clear" w:color="auto" w:fill="2D53A6"/>
          </w:tcPr>
          <w:p>
            <w:pPr>
              <w:spacing w:after="0" w:line="202" w:lineRule="exact"/>
              <w:rPr>
                <w:sz w:val="20"/>
                <w:szCs w:val="20"/>
                <w:color w:val="auto"/>
              </w:rPr>
            </w:pPr>
            <w:r>
              <w:rPr>
                <w:rFonts w:ascii="Arial" w:cs="Arial" w:eastAsia="Arial" w:hAnsi="Arial"/>
                <w:sz w:val="18"/>
                <w:szCs w:val="18"/>
                <w:b w:val="1"/>
                <w:bCs w:val="1"/>
                <w:color w:val="FFFFFF"/>
              </w:rPr>
              <w:t>Voting and Meeting Information</w:t>
            </w:r>
          </w:p>
        </w:tc>
        <w:tc>
          <w:tcPr>
            <w:tcW w:w="3660" w:type="dxa"/>
            <w:vAlign w:val="bottom"/>
            <w:shd w:val="clear" w:color="auto" w:fill="2D53A6"/>
          </w:tcPr>
          <w:p>
            <w:pPr>
              <w:ind w:left="2080"/>
              <w:spacing w:after="0" w:line="202" w:lineRule="exact"/>
              <w:rPr>
                <w:sz w:val="20"/>
                <w:szCs w:val="20"/>
                <w:color w:val="auto"/>
              </w:rPr>
            </w:pPr>
            <w:r>
              <w:rPr>
                <w:rFonts w:ascii="Arial" w:cs="Arial" w:eastAsia="Arial" w:hAnsi="Arial"/>
                <w:sz w:val="18"/>
                <w:szCs w:val="18"/>
                <w:b w:val="1"/>
                <w:bCs w:val="1"/>
                <w:color w:val="FFFFFF"/>
              </w:rPr>
              <w:t>Page 63</w:t>
            </w:r>
          </w:p>
        </w:tc>
      </w:tr>
      <w:tr>
        <w:trPr>
          <w:trHeight w:val="162"/>
        </w:trPr>
        <w:tc>
          <w:tcPr>
            <w:tcW w:w="7580" w:type="dxa"/>
            <w:vAlign w:val="bottom"/>
          </w:tcPr>
          <w:p>
            <w:pPr>
              <w:spacing w:after="0"/>
              <w:rPr>
                <w:sz w:val="20"/>
                <w:szCs w:val="20"/>
                <w:color w:val="auto"/>
              </w:rPr>
            </w:pPr>
            <w:r>
              <w:rPr>
                <w:rFonts w:ascii="Arial" w:cs="Arial" w:eastAsia="Arial" w:hAnsi="Arial"/>
                <w:sz w:val="14"/>
                <w:szCs w:val="14"/>
                <w:color w:val="auto"/>
              </w:rPr>
              <w:t>General Information</w:t>
            </w:r>
          </w:p>
        </w:tc>
        <w:tc>
          <w:tcPr>
            <w:tcW w:w="3660" w:type="dxa"/>
            <w:vAlign w:val="bottom"/>
          </w:tcPr>
          <w:p>
            <w:pPr>
              <w:spacing w:after="0"/>
              <w:rPr>
                <w:sz w:val="14"/>
                <w:szCs w:val="14"/>
                <w:color w:val="auto"/>
              </w:rPr>
            </w:pPr>
          </w:p>
        </w:tc>
      </w:tr>
      <w:tr>
        <w:trPr>
          <w:trHeight w:val="203"/>
        </w:trPr>
        <w:tc>
          <w:tcPr>
            <w:tcW w:w="7580" w:type="dxa"/>
            <w:vAlign w:val="bottom"/>
            <w:shd w:val="clear" w:color="auto" w:fill="2D53A6"/>
          </w:tcPr>
          <w:p>
            <w:pPr>
              <w:spacing w:after="0" w:line="202" w:lineRule="exact"/>
              <w:rPr>
                <w:sz w:val="20"/>
                <w:szCs w:val="20"/>
                <w:color w:val="auto"/>
              </w:rPr>
            </w:pPr>
            <w:r>
              <w:rPr>
                <w:rFonts w:ascii="Arial" w:cs="Arial" w:eastAsia="Arial" w:hAnsi="Arial"/>
                <w:sz w:val="18"/>
                <w:szCs w:val="18"/>
                <w:b w:val="1"/>
                <w:bCs w:val="1"/>
                <w:color w:val="FFFFFF"/>
              </w:rPr>
              <w:t>Appendices</w:t>
            </w:r>
          </w:p>
        </w:tc>
        <w:tc>
          <w:tcPr>
            <w:tcW w:w="3660" w:type="dxa"/>
            <w:vAlign w:val="bottom"/>
            <w:shd w:val="clear" w:color="auto" w:fill="2D53A6"/>
          </w:tcPr>
          <w:p>
            <w:pPr>
              <w:ind w:left="2080"/>
              <w:spacing w:after="0" w:line="202" w:lineRule="exact"/>
              <w:rPr>
                <w:sz w:val="20"/>
                <w:szCs w:val="20"/>
                <w:color w:val="auto"/>
              </w:rPr>
            </w:pPr>
            <w:r>
              <w:rPr>
                <w:rFonts w:ascii="Arial" w:cs="Arial" w:eastAsia="Arial" w:hAnsi="Arial"/>
                <w:sz w:val="18"/>
                <w:szCs w:val="18"/>
                <w:b w:val="1"/>
                <w:bCs w:val="1"/>
                <w:color w:val="FFFFFF"/>
              </w:rPr>
              <w:t>Page 67</w:t>
            </w:r>
          </w:p>
        </w:tc>
      </w:tr>
      <w:tr>
        <w:trPr>
          <w:trHeight w:val="405"/>
        </w:trPr>
        <w:tc>
          <w:tcPr>
            <w:tcW w:w="7580" w:type="dxa"/>
            <w:vAlign w:val="bottom"/>
            <w:shd w:val="clear" w:color="auto" w:fill="2D53A6"/>
          </w:tcPr>
          <w:p>
            <w:pPr>
              <w:spacing w:after="0"/>
              <w:rPr>
                <w:sz w:val="24"/>
                <w:szCs w:val="24"/>
                <w:color w:val="auto"/>
              </w:rPr>
            </w:pPr>
          </w:p>
        </w:tc>
        <w:tc>
          <w:tcPr>
            <w:tcW w:w="3660" w:type="dxa"/>
            <w:vAlign w:val="bottom"/>
            <w:shd w:val="clear" w:color="auto" w:fill="2D53A6"/>
          </w:tcPr>
          <w:p>
            <w:pPr>
              <w:spacing w:after="0"/>
              <w:rPr>
                <w:sz w:val="24"/>
                <w:szCs w:val="24"/>
                <w:color w:val="auto"/>
              </w:rPr>
            </w:pPr>
          </w:p>
        </w:tc>
      </w:tr>
      <w:tr>
        <w:trPr>
          <w:trHeight w:val="560"/>
        </w:trPr>
        <w:tc>
          <w:tcPr>
            <w:tcW w:w="75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51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66" w:lineRule="exact"/>
        <w:rPr>
          <w:sz w:val="20"/>
          <w:szCs w:val="20"/>
          <w:color w:val="auto"/>
        </w:rPr>
      </w:pPr>
    </w:p>
    <w:p>
      <w:pPr>
        <w:ind w:left="400"/>
        <w:spacing w:after="0"/>
        <w:rPr>
          <w:sz w:val="20"/>
          <w:szCs w:val="20"/>
          <w:color w:val="auto"/>
        </w:rPr>
      </w:pPr>
      <w:r>
        <w:rPr>
          <w:rFonts w:ascii="Arial" w:cs="Arial" w:eastAsia="Arial" w:hAnsi="Arial"/>
          <w:sz w:val="36"/>
          <w:szCs w:val="36"/>
          <w:b w:val="1"/>
          <w:bCs w:val="1"/>
          <w:color w:val="FFFFFF"/>
        </w:rPr>
        <w:t>Proxy Statement Summary</w:t>
      </w:r>
    </w:p>
    <w:p>
      <w:pPr>
        <w:spacing w:after="0" w:line="29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 xml:space="preserve">To assist you in reviewing the proposals to be acted upon at the annual meeting, we call your attention to the following summarized information about Cohu, the proposals and voting recommendations, our directors, highlights of the directors’ key qualifications, skills and experiences, board composition, corporate governance, executive compensation, and corporate sustainability matters. For more information about these topics, please review the complete proxy statement before voting. We also encourage you to read our latest annual report on Form 10-K, which is available at www.cohu.com and our latest corporate sustainability report, which is available at </w:t>
      </w:r>
      <w:r>
        <w:rPr>
          <w:rFonts w:ascii="Arial" w:cs="Arial" w:eastAsia="Arial" w:hAnsi="Arial"/>
          <w:sz w:val="18"/>
          <w:szCs w:val="18"/>
          <w:u w:val="single" w:color="auto"/>
          <w:color w:val="auto"/>
        </w:rPr>
        <w:t>https://www.cohu.com/company-corporate-sustainability</w:t>
      </w:r>
      <w:r>
        <w:rPr>
          <w:rFonts w:ascii="Arial" w:cs="Arial" w:eastAsia="Arial" w:hAnsi="Arial"/>
          <w:sz w:val="18"/>
          <w:szCs w:val="18"/>
          <w:color w:val="auto"/>
        </w:rPr>
        <w:t>. The content of any website or report referred to in this proxy statement is not a part of nor incorporated by reference in this proxy statement unless expressly noted.</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use the terms “Cohu,” the “Company,” “we,” “our,” and “us” in this proxy statement to refer to Cohu, Inc., a Delaware corporation. We also use the term “Board” to refer to the Company’s Board of Directors.</w:t>
      </w:r>
    </w:p>
    <w:p>
      <w:pPr>
        <w:spacing w:after="0" w:line="14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This proxy statement contains forward-looking statements within the meaning of the Private Securities Litigation Reform Act of 1995. Forward-looking statements include any statements that are not statements of historical fact, including statements regarding our sustainability plans and goals. Forward-looking statements are subject to risks and uncertainties that could cause actual results to differ materially from the expectations expressed, including the risks and uncertainties described in our filings with the U.S. Securities and Exchange Commission (“SEC”), and specifically the Risk Factors described in our annual report on Form 10-K and our other filings with the SEC. You should not place undue reliance on forward-looking statements. We undertake no obligation to update any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About Cohu</w:t>
      </w:r>
    </w:p>
    <w:p>
      <w:pPr>
        <w:spacing w:after="0" w:line="21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Cohu is a leading supplier of semiconductor test automation and inspection equipment, micro -electromechanical system (MEMS) test modules, test contactors, thermal sub-systems and semiconductor automated test equipment used by global semiconductor manufacturers and their test subcontractors. Our differentiated and broad product portfolio enables optimized yield and productivity, accelerating customers’ manufacturing time-to-market.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113665</wp:posOffset>
            </wp:positionV>
            <wp:extent cx="574040" cy="5657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4040" cy="56578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250825</wp:posOffset>
            </wp:positionV>
            <wp:extent cx="591185"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1185" cy="29146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139700</wp:posOffset>
            </wp:positionV>
            <wp:extent cx="325755" cy="514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755" cy="5143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208280</wp:posOffset>
            </wp:positionV>
            <wp:extent cx="394335" cy="3771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4335" cy="3771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165100</wp:posOffset>
            </wp:positionV>
            <wp:extent cx="386080" cy="462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608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Test Automation</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9"/>
              </w:rPr>
              <w:t>Inspection &amp;</w:t>
            </w:r>
          </w:p>
        </w:tc>
        <w:tc>
          <w:tcPr>
            <w:tcW w:w="2400" w:type="dxa"/>
            <w:vAlign w:val="bottom"/>
          </w:tcPr>
          <w:p>
            <w:pPr>
              <w:jc w:val="center"/>
              <w:ind w:left="50"/>
              <w:spacing w:after="0"/>
              <w:rPr>
                <w:sz w:val="20"/>
                <w:szCs w:val="20"/>
                <w:color w:val="auto"/>
              </w:rPr>
            </w:pPr>
            <w:r>
              <w:rPr>
                <w:rFonts w:ascii="Arial" w:cs="Arial" w:eastAsia="Arial" w:hAnsi="Arial"/>
                <w:sz w:val="18"/>
                <w:szCs w:val="18"/>
                <w:b w:val="1"/>
                <w:bCs w:val="1"/>
                <w:color w:val="auto"/>
                <w:w w:val="99"/>
              </w:rPr>
              <w:t>Semiconductor</w:t>
            </w:r>
          </w:p>
        </w:tc>
        <w:tc>
          <w:tcPr>
            <w:tcW w:w="238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Interface Solutions</w:t>
            </w:r>
          </w:p>
        </w:tc>
        <w:tc>
          <w:tcPr>
            <w:tcW w:w="1520" w:type="dxa"/>
            <w:vAlign w:val="bottom"/>
            <w:vMerge w:val="restart"/>
          </w:tcPr>
          <w:p>
            <w:pPr>
              <w:ind w:left="280"/>
              <w:spacing w:after="0"/>
              <w:rPr>
                <w:sz w:val="20"/>
                <w:szCs w:val="20"/>
                <w:color w:val="auto"/>
              </w:rPr>
            </w:pPr>
            <w:r>
              <w:rPr>
                <w:rFonts w:ascii="Arial" w:cs="Arial" w:eastAsia="Arial" w:hAnsi="Arial"/>
                <w:sz w:val="18"/>
                <w:szCs w:val="18"/>
                <w:b w:val="1"/>
                <w:bCs w:val="1"/>
                <w:color w:val="auto"/>
                <w:w w:val="98"/>
              </w:rPr>
              <w:t>Data Analytics</w:t>
            </w:r>
          </w:p>
        </w:tc>
        <w:tc>
          <w:tcPr>
            <w:tcW w:w="0" w:type="dxa"/>
            <w:vAlign w:val="bottom"/>
          </w:tcPr>
          <w:p>
            <w:pPr>
              <w:spacing w:after="0"/>
              <w:rPr>
                <w:sz w:val="1"/>
                <w:szCs w:val="1"/>
                <w:color w:val="auto"/>
              </w:rPr>
            </w:pPr>
          </w:p>
        </w:tc>
      </w:tr>
      <w:tr>
        <w:trPr>
          <w:trHeight w:val="139"/>
        </w:trPr>
        <w:tc>
          <w:tcPr>
            <w:tcW w:w="1980" w:type="dxa"/>
            <w:vAlign w:val="bottom"/>
            <w:vMerge w:val="continue"/>
          </w:tcPr>
          <w:p>
            <w:pPr>
              <w:spacing w:after="0"/>
              <w:rPr>
                <w:sz w:val="12"/>
                <w:szCs w:val="12"/>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Metrology</w:t>
            </w:r>
          </w:p>
        </w:tc>
        <w:tc>
          <w:tcPr>
            <w:tcW w:w="240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96"/>
              </w:rPr>
              <w:t>Testers</w:t>
            </w:r>
          </w:p>
        </w:tc>
        <w:tc>
          <w:tcPr>
            <w:tcW w:w="238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2400" w:type="dxa"/>
            <w:vAlign w:val="bottom"/>
            <w:vMerge w:val="continue"/>
          </w:tcPr>
          <w:p>
            <w:pPr>
              <w:spacing w:after="0"/>
              <w:rPr>
                <w:sz w:val="9"/>
                <w:szCs w:val="9"/>
                <w:color w:val="auto"/>
              </w:rPr>
            </w:pPr>
          </w:p>
        </w:tc>
        <w:tc>
          <w:tcPr>
            <w:tcW w:w="23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240665</wp:posOffset>
            </wp:positionV>
            <wp:extent cx="3385820" cy="1911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8582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Cohu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201930</wp:posOffset>
            </wp:positionV>
            <wp:extent cx="462915" cy="4629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2915" cy="46291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150495</wp:posOffset>
            </wp:positionV>
            <wp:extent cx="428625" cy="5657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8625" cy="56578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236220</wp:posOffset>
            </wp:positionV>
            <wp:extent cx="574040" cy="386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4040" cy="38608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193040</wp:posOffset>
            </wp:positionV>
            <wp:extent cx="462915" cy="4718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2915" cy="4718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150495</wp:posOffset>
            </wp:positionV>
            <wp:extent cx="488950" cy="548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895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680" w:type="dxa"/>
        <w:tblCellMar>
          <w:top w:w="0" w:type="dxa"/>
          <w:left w:w="0" w:type="dxa"/>
          <w:bottom w:w="0" w:type="dxa"/>
          <w:right w:w="0" w:type="dxa"/>
        </w:tblCellMar>
      </w:tblPr>
      <w:tr>
        <w:trPr>
          <w:trHeight w:val="253"/>
        </w:trPr>
        <w:tc>
          <w:tcPr>
            <w:tcW w:w="1380" w:type="dxa"/>
            <w:vAlign w:val="bottom"/>
            <w:vMerge w:val="restart"/>
          </w:tcPr>
          <w:p>
            <w:pPr>
              <w:jc w:val="right"/>
              <w:ind w:right="701"/>
              <w:spacing w:after="0"/>
              <w:rPr>
                <w:sz w:val="20"/>
                <w:szCs w:val="20"/>
                <w:color w:val="auto"/>
              </w:rPr>
            </w:pPr>
            <w:r>
              <w:rPr>
                <w:rFonts w:ascii="Arial" w:cs="Arial" w:eastAsia="Arial" w:hAnsi="Arial"/>
                <w:sz w:val="22"/>
                <w:szCs w:val="22"/>
                <w:b w:val="1"/>
                <w:bCs w:val="1"/>
                <w:color w:val="auto"/>
              </w:rPr>
              <w:t>1947</w:t>
            </w:r>
          </w:p>
        </w:tc>
        <w:tc>
          <w:tcPr>
            <w:tcW w:w="2480" w:type="dxa"/>
            <w:vAlign w:val="bottom"/>
            <w:vMerge w:val="restart"/>
          </w:tcPr>
          <w:p>
            <w:pPr>
              <w:ind w:left="680"/>
              <w:spacing w:after="0"/>
              <w:rPr>
                <w:sz w:val="20"/>
                <w:szCs w:val="20"/>
                <w:color w:val="auto"/>
              </w:rPr>
            </w:pPr>
            <w:r>
              <w:rPr>
                <w:rFonts w:ascii="Arial" w:cs="Arial" w:eastAsia="Arial" w:hAnsi="Arial"/>
                <w:sz w:val="22"/>
                <w:szCs w:val="22"/>
                <w:b w:val="1"/>
                <w:bCs w:val="1"/>
                <w:color w:val="auto"/>
              </w:rPr>
              <w:t>Poway, CA</w:t>
            </w:r>
          </w:p>
        </w:tc>
        <w:tc>
          <w:tcPr>
            <w:tcW w:w="2360" w:type="dxa"/>
            <w:vAlign w:val="bottom"/>
          </w:tcPr>
          <w:p>
            <w:pPr>
              <w:jc w:val="center"/>
              <w:spacing w:after="0"/>
              <w:rPr>
                <w:sz w:val="20"/>
                <w:szCs w:val="20"/>
                <w:color w:val="auto"/>
              </w:rPr>
            </w:pPr>
            <w:r>
              <w:rPr>
                <w:rFonts w:ascii="Arial" w:cs="Arial" w:eastAsia="Arial" w:hAnsi="Arial"/>
                <w:sz w:val="22"/>
                <w:szCs w:val="22"/>
                <w:b w:val="1"/>
                <w:bCs w:val="1"/>
                <w:color w:val="auto"/>
              </w:rPr>
              <w:t>3,000+</w:t>
            </w:r>
          </w:p>
        </w:tc>
        <w:tc>
          <w:tcPr>
            <w:tcW w:w="2200" w:type="dxa"/>
            <w:vAlign w:val="bottom"/>
          </w:tcPr>
          <w:p>
            <w:pPr>
              <w:jc w:val="center"/>
              <w:ind w:left="164"/>
              <w:spacing w:after="0"/>
              <w:rPr>
                <w:sz w:val="20"/>
                <w:szCs w:val="20"/>
                <w:color w:val="auto"/>
              </w:rPr>
            </w:pPr>
            <w:r>
              <w:rPr>
                <w:rFonts w:ascii="Arial" w:cs="Arial" w:eastAsia="Arial" w:hAnsi="Arial"/>
                <w:sz w:val="22"/>
                <w:szCs w:val="22"/>
                <w:b w:val="1"/>
                <w:bCs w:val="1"/>
                <w:color w:val="auto"/>
                <w:w w:val="97"/>
              </w:rPr>
              <w:t>24,800+</w:t>
            </w:r>
          </w:p>
        </w:tc>
        <w:tc>
          <w:tcPr>
            <w:tcW w:w="1940" w:type="dxa"/>
            <w:vAlign w:val="bottom"/>
          </w:tcPr>
          <w:p>
            <w:pPr>
              <w:jc w:val="right"/>
              <w:ind w:right="441"/>
              <w:spacing w:after="0"/>
              <w:rPr>
                <w:sz w:val="20"/>
                <w:szCs w:val="20"/>
                <w:color w:val="auto"/>
              </w:rPr>
            </w:pPr>
            <w:r>
              <w:rPr>
                <w:rFonts w:ascii="Arial" w:cs="Arial" w:eastAsia="Arial" w:hAnsi="Arial"/>
                <w:sz w:val="22"/>
                <w:szCs w:val="22"/>
                <w:b w:val="1"/>
                <w:bCs w:val="1"/>
                <w:color w:val="auto"/>
              </w:rPr>
              <w:t>21%</w:t>
            </w:r>
          </w:p>
        </w:tc>
        <w:tc>
          <w:tcPr>
            <w:tcW w:w="0" w:type="dxa"/>
            <w:vAlign w:val="bottom"/>
          </w:tcPr>
          <w:p>
            <w:pPr>
              <w:spacing w:after="0"/>
              <w:rPr>
                <w:sz w:val="1"/>
                <w:szCs w:val="1"/>
                <w:color w:val="auto"/>
              </w:rPr>
            </w:pPr>
          </w:p>
        </w:tc>
      </w:tr>
      <w:tr>
        <w:trPr>
          <w:trHeight w:val="94"/>
        </w:trPr>
        <w:tc>
          <w:tcPr>
            <w:tcW w:w="1380" w:type="dxa"/>
            <w:vAlign w:val="bottom"/>
            <w:vMerge w:val="continue"/>
          </w:tcPr>
          <w:p>
            <w:pPr>
              <w:spacing w:after="0"/>
              <w:rPr>
                <w:sz w:val="8"/>
                <w:szCs w:val="8"/>
                <w:color w:val="auto"/>
              </w:rPr>
            </w:pPr>
          </w:p>
        </w:tc>
        <w:tc>
          <w:tcPr>
            <w:tcW w:w="2480" w:type="dxa"/>
            <w:vAlign w:val="bottom"/>
            <w:vMerge w:val="continue"/>
          </w:tcPr>
          <w:p>
            <w:pPr>
              <w:spacing w:after="0"/>
              <w:rPr>
                <w:sz w:val="8"/>
                <w:szCs w:val="8"/>
                <w:color w:val="auto"/>
              </w:rPr>
            </w:pPr>
          </w:p>
        </w:tc>
        <w:tc>
          <w:tcPr>
            <w:tcW w:w="2360" w:type="dxa"/>
            <w:vAlign w:val="bottom"/>
            <w:vMerge w:val="restart"/>
          </w:tcPr>
          <w:p>
            <w:pPr>
              <w:jc w:val="center"/>
              <w:spacing w:after="0" w:line="202" w:lineRule="exact"/>
              <w:rPr>
                <w:sz w:val="20"/>
                <w:szCs w:val="20"/>
                <w:color w:val="auto"/>
              </w:rPr>
            </w:pPr>
            <w:r>
              <w:rPr>
                <w:rFonts w:ascii="Arial" w:cs="Arial" w:eastAsia="Arial" w:hAnsi="Arial"/>
                <w:sz w:val="18"/>
                <w:szCs w:val="18"/>
                <w:color w:val="2D53A6"/>
                <w:w w:val="98"/>
              </w:rPr>
              <w:t>Employees</w:t>
            </w:r>
          </w:p>
        </w:tc>
        <w:tc>
          <w:tcPr>
            <w:tcW w:w="2200" w:type="dxa"/>
            <w:vAlign w:val="bottom"/>
            <w:vMerge w:val="restart"/>
          </w:tcPr>
          <w:p>
            <w:pPr>
              <w:jc w:val="center"/>
              <w:ind w:left="164"/>
              <w:spacing w:after="0" w:line="202" w:lineRule="exact"/>
              <w:rPr>
                <w:sz w:val="20"/>
                <w:szCs w:val="20"/>
                <w:color w:val="auto"/>
              </w:rPr>
            </w:pPr>
            <w:r>
              <w:rPr>
                <w:rFonts w:ascii="Arial" w:cs="Arial" w:eastAsia="Arial" w:hAnsi="Arial"/>
                <w:sz w:val="18"/>
                <w:szCs w:val="18"/>
                <w:color w:val="2D53A6"/>
                <w:w w:val="99"/>
              </w:rPr>
              <w:t>Equipment</w:t>
            </w:r>
          </w:p>
        </w:tc>
        <w:tc>
          <w:tcPr>
            <w:tcW w:w="1940" w:type="dxa"/>
            <w:vAlign w:val="bottom"/>
            <w:vMerge w:val="restart"/>
          </w:tcPr>
          <w:p>
            <w:pPr>
              <w:jc w:val="center"/>
              <w:ind w:left="321"/>
              <w:spacing w:after="0" w:line="202" w:lineRule="exact"/>
              <w:rPr>
                <w:sz w:val="20"/>
                <w:szCs w:val="20"/>
                <w:color w:val="auto"/>
              </w:rPr>
            </w:pPr>
            <w:r>
              <w:rPr>
                <w:rFonts w:ascii="Arial" w:cs="Arial" w:eastAsia="Arial" w:hAnsi="Arial"/>
                <w:sz w:val="18"/>
                <w:szCs w:val="18"/>
                <w:color w:val="2D53A6"/>
              </w:rPr>
              <w:t xml:space="preserve">R&amp;D % of Sales </w:t>
            </w:r>
            <w:r>
              <w:rPr>
                <w:rFonts w:ascii="Arial" w:cs="Arial" w:eastAsia="Arial" w:hAnsi="Arial"/>
                <w:sz w:val="14"/>
                <w:szCs w:val="14"/>
                <w:color w:val="2D53A6"/>
              </w:rPr>
              <w:t>(1)</w:t>
            </w:r>
          </w:p>
        </w:tc>
        <w:tc>
          <w:tcPr>
            <w:tcW w:w="0" w:type="dxa"/>
            <w:vAlign w:val="bottom"/>
          </w:tcPr>
          <w:p>
            <w:pPr>
              <w:spacing w:after="0"/>
              <w:rPr>
                <w:sz w:val="1"/>
                <w:szCs w:val="1"/>
                <w:color w:val="auto"/>
              </w:rPr>
            </w:pPr>
          </w:p>
        </w:tc>
      </w:tr>
      <w:tr>
        <w:trPr>
          <w:trHeight w:val="108"/>
        </w:trPr>
        <w:tc>
          <w:tcPr>
            <w:tcW w:w="1380" w:type="dxa"/>
            <w:vAlign w:val="bottom"/>
            <w:vMerge w:val="restart"/>
          </w:tcPr>
          <w:p>
            <w:pPr>
              <w:jc w:val="center"/>
              <w:ind w:right="581"/>
              <w:spacing w:after="0"/>
              <w:rPr>
                <w:sz w:val="20"/>
                <w:szCs w:val="20"/>
                <w:color w:val="auto"/>
              </w:rPr>
            </w:pPr>
            <w:r>
              <w:rPr>
                <w:rFonts w:ascii="Arial" w:cs="Arial" w:eastAsia="Arial" w:hAnsi="Arial"/>
                <w:sz w:val="18"/>
                <w:szCs w:val="18"/>
                <w:color w:val="2D53A6"/>
                <w:w w:val="98"/>
              </w:rPr>
              <w:t>Founded</w:t>
            </w:r>
          </w:p>
        </w:tc>
        <w:tc>
          <w:tcPr>
            <w:tcW w:w="2480" w:type="dxa"/>
            <w:vAlign w:val="bottom"/>
            <w:vMerge w:val="restart"/>
          </w:tcPr>
          <w:p>
            <w:pPr>
              <w:ind w:left="680"/>
              <w:spacing w:after="0"/>
              <w:rPr>
                <w:sz w:val="20"/>
                <w:szCs w:val="20"/>
                <w:color w:val="auto"/>
              </w:rPr>
            </w:pPr>
            <w:r>
              <w:rPr>
                <w:rFonts w:ascii="Arial" w:cs="Arial" w:eastAsia="Arial" w:hAnsi="Arial"/>
                <w:sz w:val="18"/>
                <w:szCs w:val="18"/>
                <w:color w:val="2D53A6"/>
              </w:rPr>
              <w:t>Headquarters</w:t>
            </w:r>
          </w:p>
        </w:tc>
        <w:tc>
          <w:tcPr>
            <w:tcW w:w="236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380" w:type="dxa"/>
            <w:vAlign w:val="bottom"/>
            <w:vMerge w:val="continue"/>
          </w:tcPr>
          <w:p>
            <w:pPr>
              <w:spacing w:after="0"/>
              <w:rPr>
                <w:sz w:val="11"/>
                <w:szCs w:val="11"/>
                <w:color w:val="auto"/>
              </w:rPr>
            </w:pPr>
          </w:p>
        </w:tc>
        <w:tc>
          <w:tcPr>
            <w:tcW w:w="2480" w:type="dxa"/>
            <w:vAlign w:val="bottom"/>
            <w:vMerge w:val="continue"/>
          </w:tcPr>
          <w:p>
            <w:pPr>
              <w:spacing w:after="0"/>
              <w:rPr>
                <w:sz w:val="11"/>
                <w:szCs w:val="11"/>
                <w:color w:val="auto"/>
              </w:rPr>
            </w:pPr>
          </w:p>
        </w:tc>
        <w:tc>
          <w:tcPr>
            <w:tcW w:w="2360" w:type="dxa"/>
            <w:vAlign w:val="bottom"/>
            <w:vMerge w:val="restart"/>
          </w:tcPr>
          <w:p>
            <w:pPr>
              <w:jc w:val="center"/>
              <w:spacing w:after="0"/>
              <w:rPr>
                <w:sz w:val="20"/>
                <w:szCs w:val="20"/>
                <w:color w:val="auto"/>
              </w:rPr>
            </w:pPr>
            <w:r>
              <w:rPr>
                <w:rFonts w:ascii="Arial" w:cs="Arial" w:eastAsia="Arial" w:hAnsi="Arial"/>
                <w:sz w:val="18"/>
                <w:szCs w:val="18"/>
                <w:color w:val="2D53A6"/>
                <w:w w:val="99"/>
              </w:rPr>
              <w:t>(Worldwide)</w:t>
            </w:r>
          </w:p>
        </w:tc>
        <w:tc>
          <w:tcPr>
            <w:tcW w:w="2200" w:type="dxa"/>
            <w:vAlign w:val="bottom"/>
            <w:vMerge w:val="restart"/>
          </w:tcPr>
          <w:p>
            <w:pPr>
              <w:jc w:val="center"/>
              <w:ind w:left="164"/>
              <w:spacing w:after="0"/>
              <w:rPr>
                <w:sz w:val="20"/>
                <w:szCs w:val="20"/>
                <w:color w:val="auto"/>
              </w:rPr>
            </w:pPr>
            <w:r>
              <w:rPr>
                <w:rFonts w:ascii="Arial" w:cs="Arial" w:eastAsia="Arial" w:hAnsi="Arial"/>
                <w:sz w:val="18"/>
                <w:szCs w:val="18"/>
                <w:color w:val="2D53A6"/>
              </w:rPr>
              <w:t>Installed Base</w:t>
            </w: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 xml:space="preserve">Global Technology and Market Leader in $3.4 billion </w:t>
      </w:r>
      <w:r>
        <w:rPr>
          <w:rFonts w:ascii="Arial" w:cs="Arial" w:eastAsia="Arial" w:hAnsi="Arial"/>
          <w:sz w:val="17"/>
          <w:szCs w:val="17"/>
          <w:b w:val="1"/>
          <w:bCs w:val="1"/>
          <w:color w:val="auto"/>
        </w:rPr>
        <w:t>(2)</w:t>
      </w:r>
    </w:p>
    <w:p>
      <w:pPr>
        <w:spacing w:after="0" w:line="12"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Semiconductor Equipment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255270</wp:posOffset>
            </wp:positionV>
            <wp:extent cx="3780155" cy="30518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8015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Cohu, Inc. Headquarters, Poway, California</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fiscal year 2024.</w:t>
      </w:r>
    </w:p>
    <w:p>
      <w:pPr>
        <w:spacing w:after="0" w:line="15"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Estimated Cohu Serviceable Addressable Market (SAM), based on 2024 company estimates.</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Fiscal Year 2024 Financial Highlights</w:t>
      </w:r>
    </w:p>
    <w:p>
      <w:pPr>
        <w:spacing w:after="0" w:line="208"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Sales of $401.8 million despite challenging market conditions</w:t>
      </w:r>
    </w:p>
    <w:p>
      <w:pPr>
        <w:spacing w:after="0" w:line="193" w:lineRule="exact"/>
        <w:rPr>
          <w:sz w:val="20"/>
          <w:szCs w:val="20"/>
          <w:color w:val="auto"/>
        </w:rPr>
      </w:pPr>
    </w:p>
    <w:p>
      <w:pPr>
        <w:ind w:left="1940"/>
        <w:spacing w:after="0"/>
        <w:rPr>
          <w:sz w:val="20"/>
          <w:szCs w:val="20"/>
          <w:color w:val="auto"/>
        </w:rPr>
      </w:pPr>
      <w:r>
        <w:rPr>
          <w:rFonts w:ascii="Arial" w:cs="Arial" w:eastAsia="Arial" w:hAnsi="Arial"/>
          <w:sz w:val="22"/>
          <w:szCs w:val="22"/>
          <w:b w:val="1"/>
          <w:bCs w:val="1"/>
          <w:color w:val="auto"/>
        </w:rPr>
        <w:t>Full year 2024 gross margin of 44.9%; non-GAAP gross margin of 45.0%</w:t>
      </w:r>
    </w:p>
    <w:p>
      <w:pPr>
        <w:spacing w:after="0" w:line="200" w:lineRule="exact"/>
        <w:rPr>
          <w:sz w:val="20"/>
          <w:szCs w:val="20"/>
          <w:color w:val="auto"/>
        </w:rPr>
      </w:pPr>
    </w:p>
    <w:p>
      <w:pPr>
        <w:spacing w:after="0" w:line="397" w:lineRule="exact"/>
        <w:rPr>
          <w:sz w:val="20"/>
          <w:szCs w:val="20"/>
          <w:color w:val="auto"/>
        </w:rPr>
      </w:pPr>
    </w:p>
    <w:tbl>
      <w:tblPr>
        <w:tblLayout w:type="fixed"/>
        <w:tblInd w:w="960" w:type="dxa"/>
        <w:tblCellMar>
          <w:top w:w="0" w:type="dxa"/>
          <w:left w:w="0" w:type="dxa"/>
          <w:bottom w:w="0" w:type="dxa"/>
          <w:right w:w="0" w:type="dxa"/>
        </w:tblCellMar>
      </w:tblPr>
      <w:tr>
        <w:trPr>
          <w:trHeight w:val="253"/>
        </w:trPr>
        <w:tc>
          <w:tcPr>
            <w:tcW w:w="3220" w:type="dxa"/>
            <w:vAlign w:val="bottom"/>
            <w:vMerge w:val="restart"/>
          </w:tcPr>
          <w:p>
            <w:pPr>
              <w:jc w:val="center"/>
              <w:ind w:right="1281"/>
              <w:spacing w:after="0"/>
              <w:rPr>
                <w:sz w:val="20"/>
                <w:szCs w:val="20"/>
                <w:color w:val="auto"/>
              </w:rPr>
            </w:pPr>
            <w:r>
              <w:rPr>
                <w:rFonts w:ascii="Arial" w:cs="Arial" w:eastAsia="Arial" w:hAnsi="Arial"/>
                <w:sz w:val="22"/>
                <w:szCs w:val="22"/>
                <w:b w:val="1"/>
                <w:bCs w:val="1"/>
                <w:color w:val="auto"/>
                <w:w w:val="98"/>
              </w:rPr>
              <w:t>$401.8M</w:t>
            </w:r>
          </w:p>
        </w:tc>
        <w:tc>
          <w:tcPr>
            <w:tcW w:w="3940" w:type="dxa"/>
            <w:vAlign w:val="bottom"/>
          </w:tcPr>
          <w:p>
            <w:pPr>
              <w:jc w:val="center"/>
              <w:spacing w:after="0"/>
              <w:rPr>
                <w:sz w:val="20"/>
                <w:szCs w:val="20"/>
                <w:color w:val="auto"/>
              </w:rPr>
            </w:pPr>
            <w:r>
              <w:rPr>
                <w:rFonts w:ascii="Arial" w:cs="Arial" w:eastAsia="Arial" w:hAnsi="Arial"/>
                <w:sz w:val="22"/>
                <w:szCs w:val="22"/>
                <w:b w:val="1"/>
                <w:bCs w:val="1"/>
                <w:color w:val="auto"/>
                <w:w w:val="97"/>
              </w:rPr>
              <w:t>$(1.49)</w:t>
            </w:r>
          </w:p>
        </w:tc>
        <w:tc>
          <w:tcPr>
            <w:tcW w:w="2540" w:type="dxa"/>
            <w:vAlign w:val="bottom"/>
            <w:vMerge w:val="restart"/>
          </w:tcPr>
          <w:p>
            <w:pPr>
              <w:jc w:val="center"/>
              <w:ind w:left="1364"/>
              <w:spacing w:after="0"/>
              <w:rPr>
                <w:sz w:val="20"/>
                <w:szCs w:val="20"/>
                <w:color w:val="auto"/>
              </w:rPr>
            </w:pPr>
            <w:r>
              <w:rPr>
                <w:rFonts w:ascii="Arial" w:cs="Arial" w:eastAsia="Arial" w:hAnsi="Arial"/>
                <w:sz w:val="22"/>
                <w:szCs w:val="22"/>
                <w:b w:val="1"/>
                <w:bCs w:val="1"/>
                <w:color w:val="auto"/>
                <w:w w:val="96"/>
              </w:rPr>
              <w:t>44.9%</w:t>
            </w:r>
          </w:p>
        </w:tc>
        <w:tc>
          <w:tcPr>
            <w:tcW w:w="0" w:type="dxa"/>
            <w:vAlign w:val="bottom"/>
          </w:tcPr>
          <w:p>
            <w:pPr>
              <w:spacing w:after="0"/>
              <w:rPr>
                <w:sz w:val="1"/>
                <w:szCs w:val="1"/>
                <w:color w:val="auto"/>
              </w:rPr>
            </w:pPr>
          </w:p>
        </w:tc>
      </w:tr>
      <w:tr>
        <w:trPr>
          <w:trHeight w:val="81"/>
        </w:trPr>
        <w:tc>
          <w:tcPr>
            <w:tcW w:w="3220" w:type="dxa"/>
            <w:vAlign w:val="bottom"/>
            <w:vMerge w:val="continue"/>
          </w:tcPr>
          <w:p>
            <w:pPr>
              <w:spacing w:after="0"/>
              <w:rPr>
                <w:sz w:val="7"/>
                <w:szCs w:val="7"/>
                <w:color w:val="auto"/>
              </w:rPr>
            </w:pPr>
          </w:p>
        </w:tc>
        <w:tc>
          <w:tcPr>
            <w:tcW w:w="3940" w:type="dxa"/>
            <w:vAlign w:val="bottom"/>
            <w:vMerge w:val="restart"/>
          </w:tcPr>
          <w:p>
            <w:pPr>
              <w:jc w:val="center"/>
              <w:spacing w:after="0" w:line="202" w:lineRule="exact"/>
              <w:rPr>
                <w:sz w:val="20"/>
                <w:szCs w:val="20"/>
                <w:color w:val="auto"/>
              </w:rPr>
            </w:pPr>
            <w:r>
              <w:rPr>
                <w:rFonts w:ascii="Arial" w:cs="Arial" w:eastAsia="Arial" w:hAnsi="Arial"/>
                <w:sz w:val="18"/>
                <w:szCs w:val="18"/>
                <w:color w:val="2D53A6"/>
                <w:w w:val="99"/>
              </w:rPr>
              <w:t>GAAP</w:t>
            </w:r>
          </w:p>
        </w:tc>
        <w:tc>
          <w:tcPr>
            <w:tcW w:w="2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jc w:val="center"/>
              <w:ind w:right="1281"/>
              <w:spacing w:after="0" w:line="193" w:lineRule="exact"/>
              <w:rPr>
                <w:sz w:val="20"/>
                <w:szCs w:val="20"/>
                <w:color w:val="auto"/>
              </w:rPr>
            </w:pPr>
            <w:r>
              <w:rPr>
                <w:rFonts w:ascii="Arial" w:cs="Arial" w:eastAsia="Arial" w:hAnsi="Arial"/>
                <w:sz w:val="18"/>
                <w:szCs w:val="18"/>
                <w:color w:val="2D53A6"/>
                <w:w w:val="99"/>
              </w:rPr>
              <w:t>Revenue</w:t>
            </w:r>
          </w:p>
        </w:tc>
        <w:tc>
          <w:tcPr>
            <w:tcW w:w="3940" w:type="dxa"/>
            <w:vAlign w:val="bottom"/>
            <w:vMerge w:val="continue"/>
          </w:tcPr>
          <w:p>
            <w:pPr>
              <w:spacing w:after="0"/>
              <w:rPr>
                <w:sz w:val="10"/>
                <w:szCs w:val="10"/>
                <w:color w:val="auto"/>
              </w:rPr>
            </w:pPr>
          </w:p>
        </w:tc>
        <w:tc>
          <w:tcPr>
            <w:tcW w:w="2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3220" w:type="dxa"/>
            <w:vAlign w:val="bottom"/>
            <w:vMerge w:val="continue"/>
          </w:tcPr>
          <w:p>
            <w:pPr>
              <w:spacing w:after="0"/>
              <w:rPr>
                <w:sz w:val="6"/>
                <w:szCs w:val="6"/>
                <w:color w:val="auto"/>
              </w:rPr>
            </w:pPr>
          </w:p>
        </w:tc>
        <w:tc>
          <w:tcPr>
            <w:tcW w:w="3940" w:type="dxa"/>
            <w:vAlign w:val="bottom"/>
            <w:vMerge w:val="restart"/>
          </w:tcPr>
          <w:p>
            <w:pPr>
              <w:jc w:val="center"/>
              <w:spacing w:after="0" w:line="202" w:lineRule="exact"/>
              <w:rPr>
                <w:sz w:val="20"/>
                <w:szCs w:val="20"/>
                <w:color w:val="auto"/>
              </w:rPr>
            </w:pPr>
            <w:r>
              <w:rPr>
                <w:rFonts w:ascii="Arial" w:cs="Arial" w:eastAsia="Arial" w:hAnsi="Arial"/>
                <w:sz w:val="18"/>
                <w:szCs w:val="18"/>
                <w:color w:val="2D53A6"/>
              </w:rPr>
              <w:t>Loss per</w:t>
            </w:r>
          </w:p>
        </w:tc>
        <w:tc>
          <w:tcPr>
            <w:tcW w:w="2540" w:type="dxa"/>
            <w:vAlign w:val="bottom"/>
            <w:vMerge w:val="restart"/>
          </w:tcPr>
          <w:p>
            <w:pPr>
              <w:jc w:val="center"/>
              <w:ind w:left="1344"/>
              <w:spacing w:after="0" w:line="202" w:lineRule="exact"/>
              <w:rPr>
                <w:sz w:val="20"/>
                <w:szCs w:val="20"/>
                <w:color w:val="auto"/>
              </w:rPr>
            </w:pPr>
            <w:r>
              <w:rPr>
                <w:rFonts w:ascii="Arial" w:cs="Arial" w:eastAsia="Arial" w:hAnsi="Arial"/>
                <w:sz w:val="18"/>
                <w:szCs w:val="18"/>
                <w:color w:val="2D53A6"/>
                <w:w w:val="99"/>
              </w:rPr>
              <w:t>GAAP</w:t>
            </w:r>
          </w:p>
        </w:tc>
        <w:tc>
          <w:tcPr>
            <w:tcW w:w="0" w:type="dxa"/>
            <w:vAlign w:val="bottom"/>
          </w:tcPr>
          <w:p>
            <w:pPr>
              <w:spacing w:after="0"/>
              <w:rPr>
                <w:sz w:val="1"/>
                <w:szCs w:val="1"/>
                <w:color w:val="auto"/>
              </w:rPr>
            </w:pPr>
          </w:p>
        </w:tc>
      </w:tr>
      <w:tr>
        <w:trPr>
          <w:trHeight w:val="131"/>
        </w:trPr>
        <w:tc>
          <w:tcPr>
            <w:tcW w:w="3220" w:type="dxa"/>
            <w:vAlign w:val="bottom"/>
            <w:vMerge w:val="restart"/>
          </w:tcPr>
          <w:p>
            <w:pPr>
              <w:jc w:val="center"/>
              <w:ind w:right="1281"/>
              <w:spacing w:after="0"/>
              <w:rPr>
                <w:sz w:val="20"/>
                <w:szCs w:val="20"/>
                <w:color w:val="auto"/>
              </w:rPr>
            </w:pPr>
            <w:r>
              <w:rPr>
                <w:rFonts w:ascii="Arial" w:cs="Arial" w:eastAsia="Arial" w:hAnsi="Arial"/>
                <w:sz w:val="22"/>
                <w:szCs w:val="22"/>
                <w:b w:val="1"/>
                <w:bCs w:val="1"/>
                <w:color w:val="auto"/>
                <w:w w:val="98"/>
              </w:rPr>
              <w:t>$262.1M</w:t>
            </w:r>
          </w:p>
        </w:tc>
        <w:tc>
          <w:tcPr>
            <w:tcW w:w="3940" w:type="dxa"/>
            <w:vAlign w:val="bottom"/>
            <w:vMerge w:val="continue"/>
          </w:tcPr>
          <w:p>
            <w:pPr>
              <w:spacing w:after="0"/>
              <w:rPr>
                <w:sz w:val="11"/>
                <w:szCs w:val="11"/>
                <w:color w:val="auto"/>
              </w:rPr>
            </w:pPr>
          </w:p>
        </w:tc>
        <w:tc>
          <w:tcPr>
            <w:tcW w:w="2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220" w:type="dxa"/>
            <w:vAlign w:val="bottom"/>
            <w:vMerge w:val="continue"/>
          </w:tcPr>
          <w:p>
            <w:pPr>
              <w:spacing w:after="0"/>
              <w:rPr>
                <w:sz w:val="10"/>
                <w:szCs w:val="10"/>
                <w:color w:val="auto"/>
              </w:rPr>
            </w:pPr>
          </w:p>
        </w:tc>
        <w:tc>
          <w:tcPr>
            <w:tcW w:w="3940" w:type="dxa"/>
            <w:vAlign w:val="bottom"/>
            <w:vMerge w:val="restart"/>
          </w:tcPr>
          <w:p>
            <w:pPr>
              <w:jc w:val="center"/>
              <w:spacing w:after="0" w:line="202" w:lineRule="exact"/>
              <w:rPr>
                <w:sz w:val="20"/>
                <w:szCs w:val="20"/>
                <w:color w:val="auto"/>
              </w:rPr>
            </w:pPr>
            <w:r>
              <w:rPr>
                <w:rFonts w:ascii="Arial" w:cs="Arial" w:eastAsia="Arial" w:hAnsi="Arial"/>
                <w:sz w:val="18"/>
                <w:szCs w:val="18"/>
                <w:color w:val="2D53A6"/>
              </w:rPr>
              <w:t>Diluted Share</w:t>
            </w:r>
          </w:p>
        </w:tc>
        <w:tc>
          <w:tcPr>
            <w:tcW w:w="2540" w:type="dxa"/>
            <w:vAlign w:val="bottom"/>
            <w:vMerge w:val="restart"/>
          </w:tcPr>
          <w:p>
            <w:pPr>
              <w:jc w:val="center"/>
              <w:ind w:left="1364"/>
              <w:spacing w:after="0" w:line="202" w:lineRule="exact"/>
              <w:rPr>
                <w:sz w:val="20"/>
                <w:szCs w:val="20"/>
                <w:color w:val="auto"/>
              </w:rPr>
            </w:pPr>
            <w:r>
              <w:rPr>
                <w:rFonts w:ascii="Arial" w:cs="Arial" w:eastAsia="Arial" w:hAnsi="Arial"/>
                <w:sz w:val="18"/>
                <w:szCs w:val="18"/>
                <w:color w:val="2D53A6"/>
                <w:w w:val="99"/>
              </w:rPr>
              <w:t>Gross Margin</w:t>
            </w:r>
          </w:p>
        </w:tc>
        <w:tc>
          <w:tcPr>
            <w:tcW w:w="0" w:type="dxa"/>
            <w:vAlign w:val="bottom"/>
          </w:tcPr>
          <w:p>
            <w:pPr>
              <w:spacing w:after="0"/>
              <w:rPr>
                <w:sz w:val="1"/>
                <w:szCs w:val="1"/>
                <w:color w:val="auto"/>
              </w:rPr>
            </w:pPr>
          </w:p>
        </w:tc>
      </w:tr>
      <w:tr>
        <w:trPr>
          <w:trHeight w:val="81"/>
        </w:trPr>
        <w:tc>
          <w:tcPr>
            <w:tcW w:w="3220" w:type="dxa"/>
            <w:vAlign w:val="bottom"/>
            <w:vMerge w:val="restart"/>
          </w:tcPr>
          <w:p>
            <w:pPr>
              <w:jc w:val="center"/>
              <w:ind w:right="1281"/>
              <w:spacing w:after="0"/>
              <w:rPr>
                <w:sz w:val="20"/>
                <w:szCs w:val="20"/>
                <w:color w:val="auto"/>
              </w:rPr>
            </w:pPr>
            <w:r>
              <w:rPr>
                <w:rFonts w:ascii="Arial" w:cs="Arial" w:eastAsia="Arial" w:hAnsi="Arial"/>
                <w:sz w:val="18"/>
                <w:szCs w:val="18"/>
                <w:color w:val="auto"/>
              </w:rPr>
              <w:t xml:space="preserve">Cash &amp; Investments </w:t>
            </w:r>
            <w:r>
              <w:rPr>
                <w:rFonts w:ascii="Arial" w:cs="Arial" w:eastAsia="Arial" w:hAnsi="Arial"/>
                <w:sz w:val="14"/>
                <w:szCs w:val="14"/>
                <w:color w:val="auto"/>
              </w:rPr>
              <w:t>(1)</w:t>
            </w:r>
          </w:p>
        </w:tc>
        <w:tc>
          <w:tcPr>
            <w:tcW w:w="3940" w:type="dxa"/>
            <w:vAlign w:val="bottom"/>
            <w:vMerge w:val="continue"/>
          </w:tcPr>
          <w:p>
            <w:pPr>
              <w:spacing w:after="0"/>
              <w:rPr>
                <w:sz w:val="7"/>
                <w:szCs w:val="7"/>
                <w:color w:val="auto"/>
              </w:rPr>
            </w:pPr>
          </w:p>
        </w:tc>
        <w:tc>
          <w:tcPr>
            <w:tcW w:w="2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220" w:type="dxa"/>
            <w:vAlign w:val="bottom"/>
            <w:vMerge w:val="continue"/>
          </w:tcPr>
          <w:p>
            <w:pPr>
              <w:spacing w:after="0"/>
              <w:rPr>
                <w:sz w:val="13"/>
                <w:szCs w:val="13"/>
                <w:color w:val="auto"/>
              </w:rPr>
            </w:pPr>
          </w:p>
        </w:tc>
        <w:tc>
          <w:tcPr>
            <w:tcW w:w="3940" w:type="dxa"/>
            <w:vAlign w:val="bottom"/>
            <w:vMerge w:val="restart"/>
          </w:tcPr>
          <w:p>
            <w:pPr>
              <w:jc w:val="center"/>
              <w:spacing w:after="0"/>
              <w:rPr>
                <w:sz w:val="20"/>
                <w:szCs w:val="20"/>
                <w:color w:val="auto"/>
              </w:rPr>
            </w:pPr>
            <w:r>
              <w:rPr>
                <w:rFonts w:ascii="Arial" w:cs="Arial" w:eastAsia="Arial" w:hAnsi="Arial"/>
                <w:sz w:val="18"/>
                <w:szCs w:val="18"/>
                <w:color w:val="2D53A6"/>
                <w:w w:val="99"/>
              </w:rPr>
              <w:t>(EPS)</w:t>
            </w:r>
          </w:p>
        </w:tc>
        <w:tc>
          <w:tcPr>
            <w:tcW w:w="2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22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25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-559435</wp:posOffset>
            </wp:positionV>
            <wp:extent cx="480060" cy="4286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0060" cy="42862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-593725</wp:posOffset>
            </wp:positionV>
            <wp:extent cx="454025" cy="4972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4025" cy="49720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117475</wp:posOffset>
            </wp:positionV>
            <wp:extent cx="445770" cy="4629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45770" cy="462915"/>
                    </a:xfrm>
                    <a:prstGeom prst="rect">
                      <a:avLst/>
                    </a:prstGeom>
                    <a:noFill/>
                  </pic:spPr>
                </pic:pic>
              </a:graphicData>
            </a:graphic>
          </wp:anchor>
        </w:drawing>
      </w:r>
    </w:p>
    <w:p>
      <w:pPr>
        <w:spacing w:after="0" w:line="177" w:lineRule="exact"/>
        <w:rPr>
          <w:sz w:val="20"/>
          <w:szCs w:val="20"/>
          <w:color w:val="auto"/>
        </w:rPr>
      </w:pPr>
    </w:p>
    <w:tbl>
      <w:tblPr>
        <w:tblLayout w:type="fixed"/>
        <w:tblInd w:w="800" w:type="dxa"/>
        <w:tblCellMar>
          <w:top w:w="0" w:type="dxa"/>
          <w:left w:w="0" w:type="dxa"/>
          <w:bottom w:w="0" w:type="dxa"/>
          <w:right w:w="0" w:type="dxa"/>
        </w:tblCellMar>
      </w:tblPr>
      <w:tr>
        <w:trPr>
          <w:trHeight w:val="253"/>
        </w:trPr>
        <w:tc>
          <w:tcPr>
            <w:tcW w:w="3500" w:type="dxa"/>
            <w:vAlign w:val="bottom"/>
            <w:vMerge w:val="restart"/>
          </w:tcPr>
          <w:p>
            <w:pPr>
              <w:jc w:val="right"/>
              <w:ind w:right="2161"/>
              <w:spacing w:after="0"/>
              <w:rPr>
                <w:sz w:val="20"/>
                <w:szCs w:val="20"/>
                <w:color w:val="auto"/>
              </w:rPr>
            </w:pPr>
            <w:r>
              <w:rPr>
                <w:rFonts w:ascii="Arial" w:cs="Arial" w:eastAsia="Arial" w:hAnsi="Arial"/>
                <w:sz w:val="22"/>
                <w:szCs w:val="22"/>
                <w:b w:val="1"/>
                <w:bCs w:val="1"/>
                <w:color w:val="auto"/>
              </w:rPr>
              <w:t>5%</w:t>
            </w:r>
          </w:p>
        </w:tc>
        <w:tc>
          <w:tcPr>
            <w:tcW w:w="3700" w:type="dxa"/>
            <w:vAlign w:val="bottom"/>
          </w:tcPr>
          <w:p>
            <w:pPr>
              <w:jc w:val="center"/>
              <w:spacing w:after="0"/>
              <w:rPr>
                <w:sz w:val="20"/>
                <w:szCs w:val="20"/>
                <w:color w:val="auto"/>
              </w:rPr>
            </w:pPr>
            <w:r>
              <w:rPr>
                <w:rFonts w:ascii="Arial" w:cs="Arial" w:eastAsia="Arial" w:hAnsi="Arial"/>
                <w:sz w:val="22"/>
                <w:szCs w:val="22"/>
                <w:b w:val="1"/>
                <w:bCs w:val="1"/>
                <w:color w:val="auto"/>
                <w:w w:val="97"/>
              </w:rPr>
              <w:t>$(0.23)</w:t>
            </w:r>
          </w:p>
        </w:tc>
        <w:tc>
          <w:tcPr>
            <w:tcW w:w="2780" w:type="dxa"/>
            <w:vAlign w:val="bottom"/>
          </w:tcPr>
          <w:p>
            <w:pPr>
              <w:jc w:val="center"/>
              <w:ind w:left="1364"/>
              <w:spacing w:after="0"/>
              <w:rPr>
                <w:sz w:val="20"/>
                <w:szCs w:val="20"/>
                <w:color w:val="auto"/>
              </w:rPr>
            </w:pPr>
            <w:r>
              <w:rPr>
                <w:rFonts w:ascii="Arial" w:cs="Arial" w:eastAsia="Arial" w:hAnsi="Arial"/>
                <w:sz w:val="22"/>
                <w:szCs w:val="22"/>
                <w:b w:val="1"/>
                <w:bCs w:val="1"/>
                <w:color w:val="auto"/>
                <w:w w:val="96"/>
              </w:rPr>
              <w:t>45.0%</w:t>
            </w:r>
          </w:p>
        </w:tc>
        <w:tc>
          <w:tcPr>
            <w:tcW w:w="0" w:type="dxa"/>
            <w:vAlign w:val="bottom"/>
          </w:tcPr>
          <w:p>
            <w:pPr>
              <w:spacing w:after="0"/>
              <w:rPr>
                <w:sz w:val="1"/>
                <w:szCs w:val="1"/>
                <w:color w:val="auto"/>
              </w:rPr>
            </w:pPr>
          </w:p>
        </w:tc>
      </w:tr>
      <w:tr>
        <w:trPr>
          <w:trHeight w:val="94"/>
        </w:trPr>
        <w:tc>
          <w:tcPr>
            <w:tcW w:w="3500" w:type="dxa"/>
            <w:vAlign w:val="bottom"/>
            <w:vMerge w:val="continue"/>
          </w:tcPr>
          <w:p>
            <w:pPr>
              <w:spacing w:after="0"/>
              <w:rPr>
                <w:sz w:val="8"/>
                <w:szCs w:val="8"/>
                <w:color w:val="auto"/>
              </w:rPr>
            </w:pPr>
          </w:p>
        </w:tc>
        <w:tc>
          <w:tcPr>
            <w:tcW w:w="3700" w:type="dxa"/>
            <w:vAlign w:val="bottom"/>
            <w:vMerge w:val="restart"/>
          </w:tcPr>
          <w:p>
            <w:pPr>
              <w:jc w:val="center"/>
              <w:spacing w:after="0" w:line="202" w:lineRule="exact"/>
              <w:rPr>
                <w:sz w:val="20"/>
                <w:szCs w:val="20"/>
                <w:color w:val="auto"/>
              </w:rPr>
            </w:pPr>
            <w:r>
              <w:rPr>
                <w:rFonts w:ascii="Arial" w:cs="Arial" w:eastAsia="Arial" w:hAnsi="Arial"/>
                <w:sz w:val="18"/>
                <w:szCs w:val="18"/>
                <w:color w:val="2D53A6"/>
              </w:rPr>
              <w:t>Non-GAAP</w:t>
            </w:r>
          </w:p>
        </w:tc>
        <w:tc>
          <w:tcPr>
            <w:tcW w:w="2780" w:type="dxa"/>
            <w:vAlign w:val="bottom"/>
            <w:vMerge w:val="restart"/>
          </w:tcPr>
          <w:p>
            <w:pPr>
              <w:jc w:val="center"/>
              <w:ind w:left="1364"/>
              <w:spacing w:after="0" w:line="202" w:lineRule="exact"/>
              <w:rPr>
                <w:sz w:val="20"/>
                <w:szCs w:val="20"/>
                <w:color w:val="auto"/>
              </w:rPr>
            </w:pPr>
            <w:r>
              <w:rPr>
                <w:rFonts w:ascii="Arial" w:cs="Arial" w:eastAsia="Arial" w:hAnsi="Arial"/>
                <w:sz w:val="18"/>
                <w:szCs w:val="18"/>
                <w:color w:val="2D53A6"/>
                <w:w w:val="98"/>
              </w:rPr>
              <w:t>Non-GAAP</w:t>
            </w:r>
          </w:p>
        </w:tc>
        <w:tc>
          <w:tcPr>
            <w:tcW w:w="0" w:type="dxa"/>
            <w:vAlign w:val="bottom"/>
          </w:tcPr>
          <w:p>
            <w:pPr>
              <w:spacing w:after="0"/>
              <w:rPr>
                <w:sz w:val="1"/>
                <w:szCs w:val="1"/>
                <w:color w:val="auto"/>
              </w:rPr>
            </w:pPr>
          </w:p>
        </w:tc>
      </w:tr>
      <w:tr>
        <w:trPr>
          <w:trHeight w:val="108"/>
        </w:trPr>
        <w:tc>
          <w:tcPr>
            <w:tcW w:w="3500" w:type="dxa"/>
            <w:vAlign w:val="bottom"/>
            <w:vMerge w:val="restart"/>
          </w:tcPr>
          <w:p>
            <w:pPr>
              <w:jc w:val="center"/>
              <w:ind w:right="1261"/>
              <w:spacing w:after="0"/>
              <w:rPr>
                <w:sz w:val="20"/>
                <w:szCs w:val="20"/>
                <w:color w:val="auto"/>
              </w:rPr>
            </w:pPr>
            <w:r>
              <w:rPr>
                <w:rFonts w:ascii="Arial" w:cs="Arial" w:eastAsia="Arial" w:hAnsi="Arial"/>
                <w:sz w:val="18"/>
                <w:szCs w:val="18"/>
                <w:color w:val="2D53A6"/>
                <w:w w:val="99"/>
              </w:rPr>
              <w:t>9-year sales growth CAGR</w:t>
            </w:r>
          </w:p>
        </w:tc>
        <w:tc>
          <w:tcPr>
            <w:tcW w:w="3700" w:type="dxa"/>
            <w:vAlign w:val="bottom"/>
            <w:vMerge w:val="continue"/>
          </w:tcPr>
          <w:p>
            <w:pPr>
              <w:spacing w:after="0"/>
              <w:rPr>
                <w:sz w:val="9"/>
                <w:szCs w:val="9"/>
                <w:color w:val="auto"/>
              </w:rPr>
            </w:pPr>
          </w:p>
        </w:tc>
        <w:tc>
          <w:tcPr>
            <w:tcW w:w="2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500" w:type="dxa"/>
            <w:vAlign w:val="bottom"/>
            <w:vMerge w:val="continue"/>
          </w:tcPr>
          <w:p>
            <w:pPr>
              <w:spacing w:after="0"/>
              <w:rPr>
                <w:sz w:val="11"/>
                <w:szCs w:val="11"/>
                <w:color w:val="auto"/>
              </w:rPr>
            </w:pPr>
          </w:p>
        </w:tc>
        <w:tc>
          <w:tcPr>
            <w:tcW w:w="3700" w:type="dxa"/>
            <w:vAlign w:val="bottom"/>
            <w:vMerge w:val="restart"/>
          </w:tcPr>
          <w:p>
            <w:pPr>
              <w:jc w:val="center"/>
              <w:spacing w:after="0"/>
              <w:rPr>
                <w:sz w:val="20"/>
                <w:szCs w:val="20"/>
                <w:color w:val="auto"/>
              </w:rPr>
            </w:pPr>
            <w:r>
              <w:rPr>
                <w:rFonts w:ascii="Arial" w:cs="Arial" w:eastAsia="Arial" w:hAnsi="Arial"/>
                <w:sz w:val="18"/>
                <w:szCs w:val="18"/>
                <w:color w:val="2D53A6"/>
                <w:w w:val="99"/>
              </w:rPr>
              <w:t xml:space="preserve">EPS </w:t>
            </w:r>
            <w:r>
              <w:rPr>
                <w:rFonts w:ascii="Arial" w:cs="Arial" w:eastAsia="Arial" w:hAnsi="Arial"/>
                <w:sz w:val="14"/>
                <w:szCs w:val="14"/>
                <w:color w:val="2D53A6"/>
                <w:w w:val="99"/>
              </w:rPr>
              <w:t>(2)</w:t>
            </w:r>
          </w:p>
        </w:tc>
        <w:tc>
          <w:tcPr>
            <w:tcW w:w="2780" w:type="dxa"/>
            <w:vAlign w:val="bottom"/>
            <w:vMerge w:val="restart"/>
          </w:tcPr>
          <w:p>
            <w:pPr>
              <w:jc w:val="center"/>
              <w:ind w:left="1364"/>
              <w:spacing w:after="0"/>
              <w:rPr>
                <w:sz w:val="20"/>
                <w:szCs w:val="20"/>
                <w:color w:val="auto"/>
              </w:rPr>
            </w:pPr>
            <w:r>
              <w:rPr>
                <w:rFonts w:ascii="Arial" w:cs="Arial" w:eastAsia="Arial" w:hAnsi="Arial"/>
                <w:sz w:val="18"/>
                <w:szCs w:val="18"/>
                <w:color w:val="2D53A6"/>
              </w:rPr>
              <w:t xml:space="preserve">Gross Margin </w:t>
            </w:r>
            <w:r>
              <w:rPr>
                <w:rFonts w:ascii="Arial" w:cs="Arial" w:eastAsia="Arial" w:hAnsi="Arial"/>
                <w:sz w:val="14"/>
                <w:szCs w:val="14"/>
                <w:color w:val="2D53A6"/>
              </w:rPr>
              <w:t>(2)</w:t>
            </w: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3700" w:type="dxa"/>
            <w:vAlign w:val="bottom"/>
            <w:vMerge w:val="continue"/>
          </w:tcPr>
          <w:p>
            <w:pPr>
              <w:spacing w:after="0"/>
              <w:rPr>
                <w:sz w:val="9"/>
                <w:szCs w:val="9"/>
                <w:color w:val="auto"/>
              </w:rPr>
            </w:pPr>
          </w:p>
        </w:tc>
        <w:tc>
          <w:tcPr>
            <w:tcW w:w="2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December 28, 2024</w:t>
      </w:r>
    </w:p>
    <w:p>
      <w:pPr>
        <w:spacing w:after="0" w:line="15" w:lineRule="exact"/>
        <w:rPr>
          <w:rFonts w:ascii="Arial" w:cs="Arial" w:eastAsia="Arial" w:hAnsi="Arial"/>
          <w:sz w:val="14"/>
          <w:szCs w:val="14"/>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u w:val="single" w:color="auto"/>
          <w:color w:val="auto"/>
        </w:rPr>
        <w:t>Appendix A</w:t>
      </w:r>
      <w:r>
        <w:rPr>
          <w:rFonts w:ascii="Arial" w:cs="Arial" w:eastAsia="Arial" w:hAnsi="Arial"/>
          <w:sz w:val="14"/>
          <w:szCs w:val="14"/>
          <w:color w:val="auto"/>
        </w:rPr>
        <w:t xml:space="preserve"> for GAAP to non-GAAP reconciliations</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Proposals and Voting Recommendations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000" w:type="dxa"/>
            <w:vAlign w:val="bottom"/>
            <w:tcBorders>
              <w:right w:val="single" w:sz="8" w:color="2D53A6"/>
            </w:tcBorders>
            <w:vMerge w:val="restart"/>
            <w:shd w:val="clear" w:color="auto" w:fill="2D53A6"/>
          </w:tcPr>
          <w:p>
            <w:pPr>
              <w:ind w:left="40"/>
              <w:spacing w:after="0"/>
              <w:rPr>
                <w:sz w:val="20"/>
                <w:szCs w:val="20"/>
                <w:color w:val="auto"/>
              </w:rPr>
            </w:pPr>
            <w:r>
              <w:rPr>
                <w:rFonts w:ascii="Arial" w:cs="Arial" w:eastAsia="Arial" w:hAnsi="Arial"/>
                <w:sz w:val="18"/>
                <w:szCs w:val="18"/>
                <w:b w:val="1"/>
                <w:bCs w:val="1"/>
                <w:color w:val="FFFFFF"/>
              </w:rPr>
              <w:t>Voting Matters</w:t>
            </w:r>
          </w:p>
        </w:tc>
        <w:tc>
          <w:tcPr>
            <w:tcW w:w="2240" w:type="dxa"/>
            <w:vAlign w:val="bottom"/>
            <w:shd w:val="clear" w:color="auto" w:fill="2D53A6"/>
          </w:tcPr>
          <w:p>
            <w:pPr>
              <w:ind w:left="20"/>
              <w:spacing w:after="0"/>
              <w:rPr>
                <w:sz w:val="20"/>
                <w:szCs w:val="20"/>
                <w:color w:val="auto"/>
              </w:rPr>
            </w:pPr>
            <w:r>
              <w:rPr>
                <w:rFonts w:ascii="Arial" w:cs="Arial" w:eastAsia="Arial" w:hAnsi="Arial"/>
                <w:sz w:val="18"/>
                <w:szCs w:val="18"/>
                <w:b w:val="1"/>
                <w:bCs w:val="1"/>
                <w:color w:val="FFFFFF"/>
              </w:rPr>
              <w:t>Board Vote</w:t>
            </w:r>
          </w:p>
        </w:tc>
        <w:tc>
          <w:tcPr>
            <w:tcW w:w="0" w:type="dxa"/>
            <w:vAlign w:val="bottom"/>
          </w:tcPr>
          <w:p>
            <w:pPr>
              <w:spacing w:after="0"/>
              <w:rPr>
                <w:sz w:val="1"/>
                <w:szCs w:val="1"/>
                <w:color w:val="auto"/>
              </w:rPr>
            </w:pPr>
          </w:p>
        </w:tc>
      </w:tr>
      <w:tr>
        <w:trPr>
          <w:trHeight w:val="139"/>
        </w:trPr>
        <w:tc>
          <w:tcPr>
            <w:tcW w:w="9000" w:type="dxa"/>
            <w:vAlign w:val="bottom"/>
            <w:tcBorders>
              <w:right w:val="single" w:sz="8" w:color="2D53A6"/>
            </w:tcBorders>
            <w:vMerge w:val="continue"/>
            <w:shd w:val="clear" w:color="auto" w:fill="2D53A6"/>
          </w:tcPr>
          <w:p>
            <w:pPr>
              <w:spacing w:after="0"/>
              <w:rPr>
                <w:sz w:val="12"/>
                <w:szCs w:val="12"/>
                <w:color w:val="auto"/>
              </w:rPr>
            </w:pPr>
          </w:p>
        </w:tc>
        <w:tc>
          <w:tcPr>
            <w:tcW w:w="2240" w:type="dxa"/>
            <w:vAlign w:val="bottom"/>
            <w:vMerge w:val="restart"/>
            <w:shd w:val="clear" w:color="auto" w:fill="2D53A6"/>
          </w:tcPr>
          <w:p>
            <w:pPr>
              <w:ind w:left="20"/>
              <w:spacing w:after="0"/>
              <w:rPr>
                <w:sz w:val="20"/>
                <w:szCs w:val="20"/>
                <w:color w:val="auto"/>
              </w:rPr>
            </w:pPr>
            <w:r>
              <w:rPr>
                <w:rFonts w:ascii="Arial" w:cs="Arial" w:eastAsia="Arial" w:hAnsi="Arial"/>
                <w:sz w:val="18"/>
                <w:szCs w:val="18"/>
                <w:b w:val="1"/>
                <w:bCs w:val="1"/>
                <w:color w:val="FFFFFF"/>
              </w:rPr>
              <w:t>Recommendation</w:t>
            </w:r>
          </w:p>
        </w:tc>
        <w:tc>
          <w:tcPr>
            <w:tcW w:w="0" w:type="dxa"/>
            <w:vAlign w:val="bottom"/>
          </w:tcPr>
          <w:p>
            <w:pPr>
              <w:spacing w:after="0"/>
              <w:rPr>
                <w:sz w:val="1"/>
                <w:szCs w:val="1"/>
                <w:color w:val="auto"/>
              </w:rPr>
            </w:pPr>
          </w:p>
        </w:tc>
      </w:tr>
      <w:tr>
        <w:trPr>
          <w:trHeight w:val="117"/>
        </w:trPr>
        <w:tc>
          <w:tcPr>
            <w:tcW w:w="9000" w:type="dxa"/>
            <w:vAlign w:val="bottom"/>
            <w:tcBorders>
              <w:bottom w:val="single" w:sz="8" w:color="2D53A6"/>
              <w:right w:val="single" w:sz="8" w:color="2D53A6"/>
            </w:tcBorders>
            <w:shd w:val="clear" w:color="auto" w:fill="2D53A6"/>
          </w:tcPr>
          <w:p>
            <w:pPr>
              <w:spacing w:after="0"/>
              <w:rPr>
                <w:sz w:val="10"/>
                <w:szCs w:val="10"/>
                <w:color w:val="auto"/>
              </w:rPr>
            </w:pPr>
          </w:p>
        </w:tc>
        <w:tc>
          <w:tcPr>
            <w:tcW w:w="2240" w:type="dxa"/>
            <w:vAlign w:val="bottom"/>
            <w:tcBorders>
              <w:bottom w:val="single" w:sz="8" w:color="2D53A6"/>
            </w:tcBorders>
            <w:vMerge w:val="continue"/>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9000" w:type="dxa"/>
            <w:vAlign w:val="bottom"/>
            <w:tcBorders>
              <w:bottom w:val="single" w:sz="8" w:color="2D53A6"/>
              <w:right w:val="single" w:sz="8" w:color="2D53A6"/>
            </w:tcBorders>
          </w:tcPr>
          <w:p>
            <w:pPr>
              <w:ind w:left="40"/>
              <w:spacing w:after="0"/>
              <w:rPr>
                <w:sz w:val="20"/>
                <w:szCs w:val="20"/>
                <w:color w:val="auto"/>
              </w:rPr>
            </w:pPr>
            <w:r>
              <w:rPr>
                <w:rFonts w:ascii="Arial" w:cs="Arial" w:eastAsia="Arial" w:hAnsi="Arial"/>
                <w:sz w:val="18"/>
                <w:szCs w:val="18"/>
                <w:b w:val="1"/>
                <w:bCs w:val="1"/>
                <w:color w:val="auto"/>
              </w:rPr>
              <w:t>Proposal No. 1: Election of Three Class 3 Directors</w:t>
            </w:r>
          </w:p>
        </w:tc>
        <w:tc>
          <w:tcPr>
            <w:tcW w:w="2240" w:type="dxa"/>
            <w:vAlign w:val="bottom"/>
            <w:tcBorders>
              <w:bottom w:val="single" w:sz="8" w:color="2D53A6"/>
            </w:tcBorders>
          </w:tcPr>
          <w:p>
            <w:pPr>
              <w:ind w:left="20"/>
              <w:spacing w:after="0"/>
              <w:rPr>
                <w:sz w:val="20"/>
                <w:szCs w:val="20"/>
                <w:color w:val="auto"/>
              </w:rPr>
            </w:pPr>
            <w:r>
              <w:rPr>
                <w:rFonts w:ascii="Arial" w:cs="Arial" w:eastAsia="Arial" w:hAnsi="Arial"/>
                <w:sz w:val="18"/>
                <w:szCs w:val="18"/>
                <w:b w:val="1"/>
                <w:bCs w:val="1"/>
                <w:color w:val="auto"/>
              </w:rPr>
              <w:t>√ FOR each Nominee</w:t>
            </w:r>
          </w:p>
        </w:tc>
        <w:tc>
          <w:tcPr>
            <w:tcW w:w="0" w:type="dxa"/>
            <w:vAlign w:val="bottom"/>
          </w:tcPr>
          <w:p>
            <w:pPr>
              <w:spacing w:after="0"/>
              <w:rPr>
                <w:sz w:val="1"/>
                <w:szCs w:val="1"/>
                <w:color w:val="auto"/>
              </w:rPr>
            </w:pPr>
          </w:p>
        </w:tc>
      </w:tr>
      <w:tr>
        <w:trPr>
          <w:trHeight w:val="224"/>
        </w:trPr>
        <w:tc>
          <w:tcPr>
            <w:tcW w:w="9000" w:type="dxa"/>
            <w:vAlign w:val="bottom"/>
            <w:tcBorders>
              <w:right w:val="single" w:sz="8" w:color="2D53A6"/>
            </w:tcBorders>
            <w:shd w:val="clear" w:color="auto" w:fill="E6E6E6"/>
          </w:tcPr>
          <w:p>
            <w:pPr>
              <w:ind w:left="40"/>
              <w:spacing w:after="0"/>
              <w:rPr>
                <w:sz w:val="20"/>
                <w:szCs w:val="20"/>
                <w:color w:val="auto"/>
              </w:rPr>
            </w:pPr>
            <w:r>
              <w:rPr>
                <w:rFonts w:ascii="Arial" w:cs="Arial" w:eastAsia="Arial" w:hAnsi="Arial"/>
                <w:sz w:val="18"/>
                <w:szCs w:val="18"/>
                <w:b w:val="1"/>
                <w:bCs w:val="1"/>
                <w:color w:val="auto"/>
              </w:rPr>
              <w:t>Proposal No. 2: Advisory vote to approve our Named Executive Officer</w:t>
            </w:r>
          </w:p>
        </w:tc>
        <w:tc>
          <w:tcPr>
            <w:tcW w:w="2240" w:type="dxa"/>
            <w:vAlign w:val="bottom"/>
            <w:vMerge w:val="restart"/>
            <w:shd w:val="clear" w:color="auto" w:fill="E6E6E6"/>
          </w:tcPr>
          <w:p>
            <w:pPr>
              <w:ind w:left="20"/>
              <w:spacing w:after="0"/>
              <w:rPr>
                <w:sz w:val="20"/>
                <w:szCs w:val="20"/>
                <w:color w:val="auto"/>
              </w:rPr>
            </w:pPr>
            <w:r>
              <w:rPr>
                <w:rFonts w:ascii="Arial" w:cs="Arial" w:eastAsia="Arial" w:hAnsi="Arial"/>
                <w:sz w:val="18"/>
                <w:szCs w:val="18"/>
                <w:b w:val="1"/>
                <w:bCs w:val="1"/>
                <w:color w:val="auto"/>
              </w:rPr>
              <w:t>√ FOR</w:t>
            </w:r>
          </w:p>
        </w:tc>
        <w:tc>
          <w:tcPr>
            <w:tcW w:w="0" w:type="dxa"/>
            <w:vAlign w:val="bottom"/>
          </w:tcPr>
          <w:p>
            <w:pPr>
              <w:spacing w:after="0"/>
              <w:rPr>
                <w:sz w:val="1"/>
                <w:szCs w:val="1"/>
                <w:color w:val="auto"/>
              </w:rPr>
            </w:pPr>
          </w:p>
        </w:tc>
      </w:tr>
      <w:tr>
        <w:trPr>
          <w:trHeight w:val="139"/>
        </w:trPr>
        <w:tc>
          <w:tcPr>
            <w:tcW w:w="9000" w:type="dxa"/>
            <w:vAlign w:val="bottom"/>
            <w:tcBorders>
              <w:right w:val="single" w:sz="8" w:color="2D53A6"/>
            </w:tcBorders>
            <w:vMerge w:val="restart"/>
            <w:shd w:val="clear" w:color="auto" w:fill="E6E6E6"/>
          </w:tcPr>
          <w:p>
            <w:pPr>
              <w:ind w:left="40"/>
              <w:spacing w:after="0"/>
              <w:rPr>
                <w:sz w:val="20"/>
                <w:szCs w:val="20"/>
                <w:color w:val="auto"/>
              </w:rPr>
            </w:pPr>
            <w:r>
              <w:rPr>
                <w:rFonts w:ascii="Arial" w:cs="Arial" w:eastAsia="Arial" w:hAnsi="Arial"/>
                <w:sz w:val="18"/>
                <w:szCs w:val="18"/>
                <w:b w:val="1"/>
                <w:bCs w:val="1"/>
                <w:color w:val="auto"/>
              </w:rPr>
              <w:t xml:space="preserve">Compensation, or </w:t>
            </w:r>
            <w:r>
              <w:rPr>
                <w:rFonts w:ascii="Arial" w:cs="Arial" w:eastAsia="Arial" w:hAnsi="Arial"/>
                <w:sz w:val="18"/>
                <w:szCs w:val="18"/>
                <w:color w:val="auto"/>
              </w:rPr>
              <w:t>“</w:t>
            </w:r>
            <w:r>
              <w:rPr>
                <w:rFonts w:ascii="Arial" w:cs="Arial" w:eastAsia="Arial" w:hAnsi="Arial"/>
                <w:sz w:val="18"/>
                <w:szCs w:val="18"/>
                <w:b w:val="1"/>
                <w:bCs w:val="1"/>
                <w:color w:val="auto"/>
              </w:rPr>
              <w:t>Say-on-Pay</w:t>
            </w:r>
            <w:r>
              <w:rPr>
                <w:rFonts w:ascii="Arial" w:cs="Arial" w:eastAsia="Arial" w:hAnsi="Arial"/>
                <w:sz w:val="18"/>
                <w:szCs w:val="18"/>
                <w:color w:val="auto"/>
              </w:rPr>
              <w:t>”</w:t>
            </w:r>
          </w:p>
        </w:tc>
        <w:tc>
          <w:tcPr>
            <w:tcW w:w="2240" w:type="dxa"/>
            <w:vAlign w:val="bottom"/>
            <w:vMerge w:val="continue"/>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9000" w:type="dxa"/>
            <w:vAlign w:val="bottom"/>
            <w:tcBorders>
              <w:bottom w:val="single" w:sz="8" w:color="2D53A6"/>
              <w:right w:val="single" w:sz="8" w:color="2D53A6"/>
            </w:tcBorders>
            <w:vMerge w:val="continue"/>
            <w:shd w:val="clear" w:color="auto" w:fill="E6E6E6"/>
          </w:tcPr>
          <w:p>
            <w:pPr>
              <w:spacing w:after="0"/>
              <w:rPr>
                <w:sz w:val="10"/>
                <w:szCs w:val="10"/>
                <w:color w:val="auto"/>
              </w:rPr>
            </w:pPr>
          </w:p>
        </w:tc>
        <w:tc>
          <w:tcPr>
            <w:tcW w:w="2240" w:type="dxa"/>
            <w:vAlign w:val="bottom"/>
            <w:tcBorders>
              <w:bottom w:val="single" w:sz="8" w:color="2D53A6"/>
            </w:tcBorders>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9000" w:type="dxa"/>
            <w:vAlign w:val="bottom"/>
            <w:tcBorders>
              <w:right w:val="single" w:sz="8" w:color="2D53A6"/>
            </w:tcBorders>
          </w:tcPr>
          <w:p>
            <w:pPr>
              <w:ind w:left="40"/>
              <w:spacing w:after="0"/>
              <w:rPr>
                <w:sz w:val="20"/>
                <w:szCs w:val="20"/>
                <w:color w:val="auto"/>
              </w:rPr>
            </w:pPr>
            <w:r>
              <w:rPr>
                <w:rFonts w:ascii="Arial" w:cs="Arial" w:eastAsia="Arial" w:hAnsi="Arial"/>
                <w:sz w:val="18"/>
                <w:szCs w:val="18"/>
                <w:b w:val="1"/>
                <w:bCs w:val="1"/>
                <w:color w:val="auto"/>
              </w:rPr>
              <w:t>Proposal No. 3: Ratification of the Appointment of Ernst &amp; Young LLP as our</w:t>
            </w:r>
          </w:p>
        </w:tc>
        <w:tc>
          <w:tcPr>
            <w:tcW w:w="2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 FOR</w:t>
            </w:r>
          </w:p>
        </w:tc>
        <w:tc>
          <w:tcPr>
            <w:tcW w:w="0" w:type="dxa"/>
            <w:vAlign w:val="bottom"/>
          </w:tcPr>
          <w:p>
            <w:pPr>
              <w:spacing w:after="0"/>
              <w:rPr>
                <w:sz w:val="1"/>
                <w:szCs w:val="1"/>
                <w:color w:val="auto"/>
              </w:rPr>
            </w:pPr>
          </w:p>
        </w:tc>
      </w:tr>
      <w:tr>
        <w:trPr>
          <w:trHeight w:val="139"/>
        </w:trPr>
        <w:tc>
          <w:tcPr>
            <w:tcW w:w="9000" w:type="dxa"/>
            <w:vAlign w:val="bottom"/>
            <w:tcBorders>
              <w:right w:val="single" w:sz="8" w:color="2D53A6"/>
            </w:tcBorders>
            <w:vMerge w:val="restart"/>
          </w:tcPr>
          <w:p>
            <w:pPr>
              <w:ind w:left="40"/>
              <w:spacing w:after="0"/>
              <w:rPr>
                <w:sz w:val="20"/>
                <w:szCs w:val="20"/>
                <w:color w:val="auto"/>
              </w:rPr>
            </w:pPr>
            <w:r>
              <w:rPr>
                <w:rFonts w:ascii="Arial" w:cs="Arial" w:eastAsia="Arial" w:hAnsi="Arial"/>
                <w:sz w:val="18"/>
                <w:szCs w:val="18"/>
                <w:b w:val="1"/>
                <w:bCs w:val="1"/>
                <w:color w:val="auto"/>
              </w:rPr>
              <w:t>Independent Registered Public Accounting Firm for Fiscal Year 2025</w:t>
            </w:r>
          </w:p>
        </w:tc>
        <w:tc>
          <w:tcPr>
            <w:tcW w:w="2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9000" w:type="dxa"/>
            <w:vAlign w:val="bottom"/>
            <w:tcBorders>
              <w:bottom w:val="single" w:sz="8" w:color="2D53A6"/>
              <w:right w:val="single" w:sz="8" w:color="2D53A6"/>
            </w:tcBorders>
            <w:vMerge w:val="continue"/>
          </w:tcPr>
          <w:p>
            <w:pPr>
              <w:spacing w:after="0"/>
              <w:rPr>
                <w:sz w:val="10"/>
                <w:szCs w:val="10"/>
                <w:color w:val="auto"/>
              </w:rPr>
            </w:pPr>
          </w:p>
        </w:tc>
        <w:tc>
          <w:tcPr>
            <w:tcW w:w="2240" w:type="dxa"/>
            <w:vAlign w:val="bottom"/>
            <w:tcBorders>
              <w:bottom w:val="single" w:sz="8" w:color="2D53A6"/>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9000" w:type="dxa"/>
            <w:vAlign w:val="bottom"/>
            <w:tcBorders>
              <w:right w:val="single" w:sz="8" w:color="2D53A6"/>
            </w:tcBorders>
            <w:shd w:val="clear" w:color="auto" w:fill="E6E6E6"/>
          </w:tcPr>
          <w:p>
            <w:pPr>
              <w:ind w:left="40"/>
              <w:spacing w:after="0"/>
              <w:rPr>
                <w:sz w:val="20"/>
                <w:szCs w:val="20"/>
                <w:color w:val="auto"/>
              </w:rPr>
            </w:pPr>
            <w:r>
              <w:rPr>
                <w:rFonts w:ascii="Arial" w:cs="Arial" w:eastAsia="Arial" w:hAnsi="Arial"/>
                <w:sz w:val="18"/>
                <w:szCs w:val="18"/>
                <w:b w:val="1"/>
                <w:bCs w:val="1"/>
                <w:color w:val="auto"/>
              </w:rPr>
              <w:t>Transaction of other business as may properly come before the annual meeting (including any</w:t>
            </w:r>
          </w:p>
        </w:tc>
        <w:tc>
          <w:tcPr>
            <w:tcW w:w="224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9000" w:type="dxa"/>
            <w:vAlign w:val="bottom"/>
            <w:tcBorders>
              <w:bottom w:val="single" w:sz="8" w:color="2D53A6"/>
              <w:right w:val="single" w:sz="8" w:color="2D53A6"/>
            </w:tcBorders>
            <w:shd w:val="clear" w:color="auto" w:fill="E6E6E6"/>
          </w:tcPr>
          <w:p>
            <w:pPr>
              <w:ind w:left="40"/>
              <w:spacing w:after="0"/>
              <w:rPr>
                <w:sz w:val="20"/>
                <w:szCs w:val="20"/>
                <w:color w:val="auto"/>
              </w:rPr>
            </w:pPr>
            <w:r>
              <w:rPr>
                <w:rFonts w:ascii="Arial" w:cs="Arial" w:eastAsia="Arial" w:hAnsi="Arial"/>
                <w:sz w:val="18"/>
                <w:szCs w:val="18"/>
                <w:b w:val="1"/>
                <w:bCs w:val="1"/>
                <w:color w:val="auto"/>
              </w:rPr>
              <w:t>adjournment or postponement thereof)</w:t>
            </w:r>
          </w:p>
        </w:tc>
        <w:tc>
          <w:tcPr>
            <w:tcW w:w="2240" w:type="dxa"/>
            <w:vAlign w:val="bottom"/>
            <w:tcBorders>
              <w:bottom w:val="single" w:sz="8" w:color="2D53A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423"/>
        </w:trPr>
        <w:tc>
          <w:tcPr>
            <w:tcW w:w="9000" w:type="dxa"/>
            <w:vAlign w:val="bottom"/>
          </w:tcPr>
          <w:p>
            <w:pPr>
              <w:ind w:left="5580"/>
              <w:spacing w:after="0"/>
              <w:rPr>
                <w:sz w:val="20"/>
                <w:szCs w:val="20"/>
                <w:color w:val="auto"/>
              </w:rPr>
            </w:pPr>
            <w:r>
              <w:rPr>
                <w:rFonts w:ascii="Arial" w:cs="Arial" w:eastAsia="Arial" w:hAnsi="Arial"/>
                <w:sz w:val="18"/>
                <w:szCs w:val="18"/>
                <w:color w:val="auto"/>
              </w:rPr>
              <w:t>3</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900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Summary Information Regarding Our Directors</w:t>
      </w:r>
    </w:p>
    <w:p>
      <w:pPr>
        <w:spacing w:after="0" w:line="21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You are being asked to vote on the election of three (3) Class 3 director nominees. The following table provides summary information about each nominee as well as the remaining directors that are not standing for election at the 2025 annual meeting.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More detailed biographical information is contained in the “Proposal No. 1: Election of Directors” section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20" w:type="dxa"/>
            <w:vAlign w:val="bottom"/>
            <w:tcBorders>
              <w:right w:val="single" w:sz="8" w:color="2D53A6"/>
            </w:tcBorders>
            <w:shd w:val="clear" w:color="auto" w:fill="2D53A6"/>
          </w:tcPr>
          <w:p>
            <w:pPr>
              <w:spacing w:after="0"/>
              <w:rPr>
                <w:sz w:val="18"/>
                <w:szCs w:val="18"/>
                <w:color w:val="auto"/>
              </w:rPr>
            </w:pPr>
          </w:p>
        </w:tc>
        <w:tc>
          <w:tcPr>
            <w:tcW w:w="940" w:type="dxa"/>
            <w:vAlign w:val="bottom"/>
            <w:tcBorders>
              <w:right w:val="single" w:sz="8" w:color="2D53A6"/>
            </w:tcBorders>
            <w:shd w:val="clear" w:color="auto" w:fill="2D53A6"/>
          </w:tcPr>
          <w:p>
            <w:pPr>
              <w:spacing w:after="0"/>
              <w:rPr>
                <w:sz w:val="18"/>
                <w:szCs w:val="18"/>
                <w:color w:val="auto"/>
              </w:rPr>
            </w:pPr>
          </w:p>
        </w:tc>
        <w:tc>
          <w:tcPr>
            <w:tcW w:w="960" w:type="dxa"/>
            <w:vAlign w:val="bottom"/>
            <w:tcBorders>
              <w:right w:val="single" w:sz="8" w:color="2D53A6"/>
            </w:tcBorders>
            <w:shd w:val="clear" w:color="auto" w:fill="2D53A6"/>
          </w:tcPr>
          <w:p>
            <w:pPr>
              <w:spacing w:after="0"/>
              <w:rPr>
                <w:sz w:val="18"/>
                <w:szCs w:val="18"/>
                <w:color w:val="auto"/>
              </w:rPr>
            </w:pPr>
          </w:p>
        </w:tc>
        <w:tc>
          <w:tcPr>
            <w:tcW w:w="15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6"/>
                <w:szCs w:val="16"/>
                <w:b w:val="1"/>
                <w:bCs w:val="1"/>
                <w:color w:val="FFFFFF"/>
                <w:w w:val="97"/>
              </w:rPr>
              <w:t xml:space="preserve">Independent </w:t>
            </w:r>
            <w:r>
              <w:rPr>
                <w:rFonts w:ascii="Arial" w:cs="Arial" w:eastAsia="Arial" w:hAnsi="Arial"/>
                <w:sz w:val="26"/>
                <w:szCs w:val="26"/>
                <w:b w:val="1"/>
                <w:bCs w:val="1"/>
                <w:color w:val="FFFFFF"/>
                <w:w w:val="97"/>
                <w:vertAlign w:val="superscript"/>
              </w:rPr>
              <w:t>(1)</w:t>
            </w:r>
          </w:p>
        </w:tc>
        <w:tc>
          <w:tcPr>
            <w:tcW w:w="11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6"/>
                <w:szCs w:val="16"/>
                <w:b w:val="1"/>
                <w:bCs w:val="1"/>
                <w:color w:val="FFFFFF"/>
              </w:rPr>
              <w:t>Class and</w:t>
            </w:r>
          </w:p>
        </w:tc>
        <w:tc>
          <w:tcPr>
            <w:tcW w:w="660" w:type="dxa"/>
            <w:vAlign w:val="bottom"/>
            <w:tcBorders>
              <w:right w:val="single" w:sz="8" w:color="2D53A6"/>
            </w:tcBorders>
            <w:shd w:val="clear" w:color="auto" w:fill="2D53A6"/>
          </w:tcPr>
          <w:p>
            <w:pPr>
              <w:spacing w:after="0"/>
              <w:rPr>
                <w:sz w:val="18"/>
                <w:szCs w:val="18"/>
                <w:color w:val="auto"/>
              </w:rPr>
            </w:pPr>
          </w:p>
        </w:tc>
        <w:tc>
          <w:tcPr>
            <w:tcW w:w="680" w:type="dxa"/>
            <w:vAlign w:val="bottom"/>
            <w:tcBorders>
              <w:right w:val="single" w:sz="8" w:color="2D53A6"/>
            </w:tcBorders>
            <w:shd w:val="clear" w:color="auto" w:fill="2D53A6"/>
          </w:tcPr>
          <w:p>
            <w:pPr>
              <w:spacing w:after="0"/>
              <w:rPr>
                <w:sz w:val="18"/>
                <w:szCs w:val="18"/>
                <w:color w:val="auto"/>
              </w:rPr>
            </w:pPr>
          </w:p>
        </w:tc>
        <w:tc>
          <w:tcPr>
            <w:tcW w:w="680" w:type="dxa"/>
            <w:vAlign w:val="bottom"/>
            <w:tcBorders>
              <w:right w:val="single" w:sz="8" w:color="2D53A6"/>
            </w:tcBorders>
            <w:shd w:val="clear" w:color="auto" w:fill="2D53A6"/>
          </w:tcPr>
          <w:p>
            <w:pPr>
              <w:spacing w:after="0"/>
              <w:rPr>
                <w:sz w:val="18"/>
                <w:szCs w:val="18"/>
                <w:color w:val="auto"/>
              </w:rPr>
            </w:pPr>
          </w:p>
        </w:tc>
        <w:tc>
          <w:tcPr>
            <w:tcW w:w="2780" w:type="dxa"/>
            <w:vAlign w:val="bottom"/>
            <w:shd w:val="clear" w:color="auto" w:fill="2D53A6"/>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20" w:type="dxa"/>
            <w:vAlign w:val="bottom"/>
            <w:tcBorders>
              <w:right w:val="single" w:sz="8" w:color="2D53A6"/>
            </w:tcBorders>
            <w:shd w:val="clear" w:color="auto" w:fill="2D53A6"/>
          </w:tcPr>
          <w:p>
            <w:pPr>
              <w:ind w:left="40"/>
              <w:spacing w:after="0"/>
              <w:rPr>
                <w:sz w:val="20"/>
                <w:szCs w:val="20"/>
                <w:color w:val="auto"/>
              </w:rPr>
            </w:pPr>
            <w:r>
              <w:rPr>
                <w:rFonts w:ascii="Arial" w:cs="Arial" w:eastAsia="Arial" w:hAnsi="Arial"/>
                <w:sz w:val="16"/>
                <w:szCs w:val="16"/>
                <w:b w:val="1"/>
                <w:bCs w:val="1"/>
                <w:color w:val="FFFFFF"/>
              </w:rPr>
              <w:t>Name</w:t>
            </w:r>
          </w:p>
        </w:tc>
        <w:tc>
          <w:tcPr>
            <w:tcW w:w="9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6"/>
                <w:szCs w:val="16"/>
                <w:b w:val="1"/>
                <w:bCs w:val="1"/>
                <w:color w:val="FFFFFF"/>
              </w:rPr>
              <w:t>Age</w:t>
            </w:r>
          </w:p>
        </w:tc>
        <w:tc>
          <w:tcPr>
            <w:tcW w:w="960" w:type="dxa"/>
            <w:vAlign w:val="bottom"/>
            <w:tcBorders>
              <w:right w:val="single" w:sz="8" w:color="2D53A6"/>
            </w:tcBorders>
            <w:shd w:val="clear" w:color="auto" w:fill="2D53A6"/>
          </w:tcPr>
          <w:p>
            <w:pPr>
              <w:jc w:val="right"/>
              <w:ind w:right="199"/>
              <w:spacing w:after="0"/>
              <w:rPr>
                <w:sz w:val="20"/>
                <w:szCs w:val="20"/>
                <w:color w:val="auto"/>
              </w:rPr>
            </w:pPr>
            <w:r>
              <w:rPr>
                <w:rFonts w:ascii="Arial" w:cs="Arial" w:eastAsia="Arial" w:hAnsi="Arial"/>
                <w:sz w:val="16"/>
                <w:szCs w:val="16"/>
                <w:b w:val="1"/>
                <w:bCs w:val="1"/>
                <w:color w:val="FFFFFF"/>
              </w:rPr>
              <w:t>Since</w:t>
            </w:r>
          </w:p>
        </w:tc>
        <w:tc>
          <w:tcPr>
            <w:tcW w:w="1540" w:type="dxa"/>
            <w:vAlign w:val="bottom"/>
            <w:tcBorders>
              <w:right w:val="single" w:sz="8" w:color="2D53A6"/>
            </w:tcBorders>
            <w:vMerge w:val="continue"/>
            <w:shd w:val="clear" w:color="auto" w:fill="2D53A6"/>
          </w:tcPr>
          <w:p>
            <w:pPr>
              <w:spacing w:after="0"/>
              <w:rPr>
                <w:sz w:val="16"/>
                <w:szCs w:val="16"/>
                <w:color w:val="auto"/>
              </w:rPr>
            </w:pPr>
          </w:p>
        </w:tc>
        <w:tc>
          <w:tcPr>
            <w:tcW w:w="11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6"/>
                <w:szCs w:val="16"/>
                <w:b w:val="1"/>
                <w:bCs w:val="1"/>
                <w:color w:val="FFFFFF"/>
                <w:w w:val="98"/>
              </w:rPr>
              <w:t>When Term</w:t>
            </w:r>
          </w:p>
        </w:tc>
        <w:tc>
          <w:tcPr>
            <w:tcW w:w="660" w:type="dxa"/>
            <w:vAlign w:val="bottom"/>
            <w:tcBorders>
              <w:right w:val="single" w:sz="8" w:color="2D53A6"/>
            </w:tcBorders>
            <w:shd w:val="clear" w:color="auto" w:fill="2D53A6"/>
          </w:tcPr>
          <w:p>
            <w:pPr>
              <w:jc w:val="right"/>
              <w:ind w:right="159"/>
              <w:spacing w:after="0"/>
              <w:rPr>
                <w:sz w:val="20"/>
                <w:szCs w:val="20"/>
                <w:color w:val="auto"/>
              </w:rPr>
            </w:pPr>
            <w:r>
              <w:rPr>
                <w:rFonts w:ascii="Arial" w:cs="Arial" w:eastAsia="Arial" w:hAnsi="Arial"/>
                <w:sz w:val="16"/>
                <w:szCs w:val="16"/>
                <w:b w:val="1"/>
                <w:bCs w:val="1"/>
                <w:color w:val="FFFFFF"/>
              </w:rPr>
              <w:t>AC</w:t>
            </w:r>
          </w:p>
        </w:tc>
        <w:tc>
          <w:tcPr>
            <w:tcW w:w="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6"/>
                <w:szCs w:val="16"/>
                <w:b w:val="1"/>
                <w:bCs w:val="1"/>
                <w:color w:val="FFFFFF"/>
              </w:rPr>
              <w:t>CC</w:t>
            </w:r>
          </w:p>
        </w:tc>
        <w:tc>
          <w:tcPr>
            <w:tcW w:w="6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6"/>
                <w:szCs w:val="16"/>
                <w:b w:val="1"/>
                <w:bCs w:val="1"/>
                <w:color w:val="FFFFFF"/>
              </w:rPr>
              <w:t>NGC</w:t>
            </w:r>
          </w:p>
        </w:tc>
        <w:tc>
          <w:tcPr>
            <w:tcW w:w="2780" w:type="dxa"/>
            <w:vAlign w:val="bottom"/>
            <w:shd w:val="clear" w:color="auto" w:fill="2D53A6"/>
          </w:tcPr>
          <w:p>
            <w:pPr>
              <w:ind w:left="20"/>
              <w:spacing w:after="0"/>
              <w:rPr>
                <w:sz w:val="20"/>
                <w:szCs w:val="20"/>
                <w:color w:val="auto"/>
              </w:rPr>
            </w:pPr>
            <w:r>
              <w:rPr>
                <w:rFonts w:ascii="Arial" w:cs="Arial" w:eastAsia="Arial" w:hAnsi="Arial"/>
                <w:sz w:val="16"/>
                <w:szCs w:val="16"/>
                <w:b w:val="1"/>
                <w:bCs w:val="1"/>
                <w:color w:val="FFFFFF"/>
              </w:rPr>
              <w:t>Other Current Public Boards</w:t>
            </w:r>
          </w:p>
        </w:tc>
        <w:tc>
          <w:tcPr>
            <w:tcW w:w="0" w:type="dxa"/>
            <w:vAlign w:val="bottom"/>
          </w:tcPr>
          <w:p>
            <w:pPr>
              <w:spacing w:after="0"/>
              <w:rPr>
                <w:sz w:val="1"/>
                <w:szCs w:val="1"/>
                <w:color w:val="auto"/>
              </w:rPr>
            </w:pPr>
          </w:p>
        </w:tc>
      </w:tr>
      <w:tr>
        <w:trPr>
          <w:trHeight w:val="237"/>
        </w:trPr>
        <w:tc>
          <w:tcPr>
            <w:tcW w:w="1820" w:type="dxa"/>
            <w:vAlign w:val="bottom"/>
            <w:tcBorders>
              <w:bottom w:val="single" w:sz="8" w:color="2D53A6"/>
              <w:right w:val="single" w:sz="8" w:color="2D53A6"/>
            </w:tcBorders>
            <w:shd w:val="clear" w:color="auto" w:fill="2D53A6"/>
          </w:tcPr>
          <w:p>
            <w:pPr>
              <w:spacing w:after="0"/>
              <w:rPr>
                <w:sz w:val="20"/>
                <w:szCs w:val="20"/>
                <w:color w:val="auto"/>
              </w:rPr>
            </w:pPr>
          </w:p>
        </w:tc>
        <w:tc>
          <w:tcPr>
            <w:tcW w:w="940" w:type="dxa"/>
            <w:vAlign w:val="bottom"/>
            <w:tcBorders>
              <w:bottom w:val="single" w:sz="8" w:color="2D53A6"/>
              <w:right w:val="single" w:sz="8" w:color="2D53A6"/>
            </w:tcBorders>
            <w:shd w:val="clear" w:color="auto" w:fill="2D53A6"/>
          </w:tcPr>
          <w:p>
            <w:pPr>
              <w:spacing w:after="0"/>
              <w:rPr>
                <w:sz w:val="20"/>
                <w:szCs w:val="20"/>
                <w:color w:val="auto"/>
              </w:rPr>
            </w:pPr>
          </w:p>
        </w:tc>
        <w:tc>
          <w:tcPr>
            <w:tcW w:w="960" w:type="dxa"/>
            <w:vAlign w:val="bottom"/>
            <w:tcBorders>
              <w:bottom w:val="single" w:sz="8" w:color="2D53A6"/>
              <w:right w:val="single" w:sz="8" w:color="2D53A6"/>
            </w:tcBorders>
            <w:shd w:val="clear" w:color="auto" w:fill="2D53A6"/>
          </w:tcPr>
          <w:p>
            <w:pPr>
              <w:spacing w:after="0"/>
              <w:rPr>
                <w:sz w:val="20"/>
                <w:szCs w:val="20"/>
                <w:color w:val="auto"/>
              </w:rPr>
            </w:pPr>
          </w:p>
        </w:tc>
        <w:tc>
          <w:tcPr>
            <w:tcW w:w="1540" w:type="dxa"/>
            <w:vAlign w:val="bottom"/>
            <w:tcBorders>
              <w:bottom w:val="single" w:sz="8" w:color="2D53A6"/>
              <w:right w:val="single" w:sz="8" w:color="2D53A6"/>
            </w:tcBorders>
            <w:shd w:val="clear" w:color="auto" w:fill="2D53A6"/>
          </w:tcPr>
          <w:p>
            <w:pPr>
              <w:spacing w:after="0"/>
              <w:rPr>
                <w:sz w:val="20"/>
                <w:szCs w:val="20"/>
                <w:color w:val="auto"/>
              </w:rPr>
            </w:pPr>
          </w:p>
        </w:tc>
        <w:tc>
          <w:tcPr>
            <w:tcW w:w="1180" w:type="dxa"/>
            <w:vAlign w:val="bottom"/>
            <w:tcBorders>
              <w:bottom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16"/>
                <w:szCs w:val="16"/>
                <w:b w:val="1"/>
                <w:bCs w:val="1"/>
                <w:color w:val="FFFFFF"/>
              </w:rPr>
              <w:t>Expires</w:t>
            </w:r>
          </w:p>
        </w:tc>
        <w:tc>
          <w:tcPr>
            <w:tcW w:w="660" w:type="dxa"/>
            <w:vAlign w:val="bottom"/>
            <w:tcBorders>
              <w:bottom w:val="single" w:sz="8" w:color="2D53A6"/>
              <w:right w:val="single" w:sz="8" w:color="2D53A6"/>
            </w:tcBorders>
            <w:shd w:val="clear" w:color="auto" w:fill="2D53A6"/>
          </w:tcPr>
          <w:p>
            <w:pPr>
              <w:spacing w:after="0"/>
              <w:rPr>
                <w:sz w:val="20"/>
                <w:szCs w:val="20"/>
                <w:color w:val="auto"/>
              </w:rPr>
            </w:pPr>
          </w:p>
        </w:tc>
        <w:tc>
          <w:tcPr>
            <w:tcW w:w="680" w:type="dxa"/>
            <w:vAlign w:val="bottom"/>
            <w:tcBorders>
              <w:bottom w:val="single" w:sz="8" w:color="2D53A6"/>
              <w:right w:val="single" w:sz="8" w:color="2D53A6"/>
            </w:tcBorders>
            <w:shd w:val="clear" w:color="auto" w:fill="2D53A6"/>
          </w:tcPr>
          <w:p>
            <w:pPr>
              <w:spacing w:after="0"/>
              <w:rPr>
                <w:sz w:val="20"/>
                <w:szCs w:val="20"/>
                <w:color w:val="auto"/>
              </w:rPr>
            </w:pPr>
          </w:p>
        </w:tc>
        <w:tc>
          <w:tcPr>
            <w:tcW w:w="680" w:type="dxa"/>
            <w:vAlign w:val="bottom"/>
            <w:tcBorders>
              <w:bottom w:val="single" w:sz="8" w:color="2D53A6"/>
              <w:right w:val="single" w:sz="8" w:color="2D53A6"/>
            </w:tcBorders>
            <w:shd w:val="clear" w:color="auto" w:fill="2D53A6"/>
          </w:tcPr>
          <w:p>
            <w:pPr>
              <w:spacing w:after="0"/>
              <w:rPr>
                <w:sz w:val="20"/>
                <w:szCs w:val="20"/>
                <w:color w:val="auto"/>
              </w:rPr>
            </w:pPr>
          </w:p>
        </w:tc>
        <w:tc>
          <w:tcPr>
            <w:tcW w:w="2780" w:type="dxa"/>
            <w:vAlign w:val="bottom"/>
            <w:tcBorders>
              <w:bottom w:val="single" w:sz="8" w:color="2D53A6"/>
            </w:tcBorders>
            <w:shd w:val="clear" w:color="auto" w:fill="2D53A6"/>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820" w:type="dxa"/>
            <w:vAlign w:val="bottom"/>
            <w:tcBorders>
              <w:right w:val="single" w:sz="8" w:color="2D53A6"/>
            </w:tcBorders>
          </w:tcPr>
          <w:p>
            <w:pPr>
              <w:ind w:left="40"/>
              <w:spacing w:after="0"/>
              <w:rPr>
                <w:sz w:val="20"/>
                <w:szCs w:val="20"/>
                <w:color w:val="auto"/>
              </w:rPr>
            </w:pPr>
            <w:r>
              <w:rPr>
                <w:rFonts w:ascii="Arial" w:cs="Arial" w:eastAsia="Arial" w:hAnsi="Arial"/>
                <w:sz w:val="16"/>
                <w:szCs w:val="16"/>
                <w:color w:val="auto"/>
              </w:rPr>
              <w:t>Steven J. Bilodeau</w:t>
            </w:r>
          </w:p>
        </w:tc>
        <w:tc>
          <w:tcPr>
            <w:tcW w:w="940" w:type="dxa"/>
            <w:vAlign w:val="bottom"/>
            <w:tcBorders>
              <w:right w:val="single" w:sz="8" w:color="2D53A6"/>
            </w:tcBorders>
          </w:tcPr>
          <w:p>
            <w:pPr>
              <w:jc w:val="center"/>
              <w:spacing w:after="0"/>
              <w:rPr>
                <w:sz w:val="20"/>
                <w:szCs w:val="20"/>
                <w:color w:val="auto"/>
              </w:rPr>
            </w:pPr>
            <w:r>
              <w:rPr>
                <w:rFonts w:ascii="Arial" w:cs="Arial" w:eastAsia="Arial" w:hAnsi="Arial"/>
                <w:sz w:val="16"/>
                <w:szCs w:val="16"/>
                <w:color w:val="auto"/>
              </w:rPr>
              <w:t>66</w:t>
            </w:r>
          </w:p>
        </w:tc>
        <w:tc>
          <w:tcPr>
            <w:tcW w:w="960" w:type="dxa"/>
            <w:vAlign w:val="bottom"/>
            <w:tcBorders>
              <w:right w:val="single" w:sz="8" w:color="2D53A6"/>
            </w:tcBorders>
          </w:tcPr>
          <w:p>
            <w:pPr>
              <w:jc w:val="right"/>
              <w:ind w:right="239"/>
              <w:spacing w:after="0"/>
              <w:rPr>
                <w:sz w:val="20"/>
                <w:szCs w:val="20"/>
                <w:color w:val="auto"/>
              </w:rPr>
            </w:pPr>
            <w:r>
              <w:rPr>
                <w:rFonts w:ascii="Arial" w:cs="Arial" w:eastAsia="Arial" w:hAnsi="Arial"/>
                <w:sz w:val="16"/>
                <w:szCs w:val="16"/>
                <w:color w:val="auto"/>
              </w:rPr>
              <w:t>2009</w:t>
            </w:r>
          </w:p>
        </w:tc>
        <w:tc>
          <w:tcPr>
            <w:tcW w:w="1540" w:type="dxa"/>
            <w:vAlign w:val="bottom"/>
            <w:tcBorders>
              <w:right w:val="single" w:sz="8" w:color="2D53A6"/>
            </w:tcBorders>
          </w:tcPr>
          <w:p>
            <w:pPr>
              <w:jc w:val="center"/>
              <w:spacing w:after="0"/>
              <w:rPr>
                <w:sz w:val="20"/>
                <w:szCs w:val="20"/>
                <w:color w:val="auto"/>
              </w:rPr>
            </w:pPr>
            <w:r>
              <w:rPr>
                <w:rFonts w:ascii="Arial" w:cs="Arial" w:eastAsia="Arial" w:hAnsi="Arial"/>
                <w:sz w:val="16"/>
                <w:szCs w:val="16"/>
                <w:color w:val="auto"/>
                <w:w w:val="94"/>
              </w:rPr>
              <w:t>Yes</w:t>
            </w:r>
          </w:p>
        </w:tc>
        <w:tc>
          <w:tcPr>
            <w:tcW w:w="1180" w:type="dxa"/>
            <w:vAlign w:val="bottom"/>
            <w:tcBorders>
              <w:right w:val="single" w:sz="8" w:color="2D53A6"/>
            </w:tcBorders>
          </w:tcPr>
          <w:p>
            <w:pPr>
              <w:jc w:val="center"/>
              <w:spacing w:after="0"/>
              <w:rPr>
                <w:sz w:val="20"/>
                <w:szCs w:val="20"/>
                <w:color w:val="auto"/>
              </w:rPr>
            </w:pPr>
            <w:r>
              <w:rPr>
                <w:rFonts w:ascii="Arial" w:cs="Arial" w:eastAsia="Arial" w:hAnsi="Arial"/>
                <w:sz w:val="16"/>
                <w:szCs w:val="16"/>
                <w:color w:val="auto"/>
              </w:rPr>
              <w:t>3 -- 2025</w:t>
            </w:r>
          </w:p>
        </w:tc>
        <w:tc>
          <w:tcPr>
            <w:tcW w:w="660" w:type="dxa"/>
            <w:vAlign w:val="bottom"/>
            <w:tcBorders>
              <w:right w:val="single" w:sz="8" w:color="2D53A6"/>
            </w:tcBorders>
          </w:tcPr>
          <w:p>
            <w:pPr>
              <w:spacing w:after="0"/>
              <w:rPr>
                <w:sz w:val="20"/>
                <w:szCs w:val="20"/>
                <w:color w:val="auto"/>
              </w:rPr>
            </w:pPr>
          </w:p>
        </w:tc>
        <w:tc>
          <w:tcPr>
            <w:tcW w:w="680" w:type="dxa"/>
            <w:vAlign w:val="bottom"/>
            <w:tcBorders>
              <w:right w:val="single" w:sz="8" w:color="2D53A6"/>
            </w:tcBorders>
          </w:tcPr>
          <w:p>
            <w:pPr>
              <w:jc w:val="center"/>
              <w:spacing w:after="0"/>
              <w:rPr>
                <w:sz w:val="20"/>
                <w:szCs w:val="20"/>
                <w:color w:val="auto"/>
              </w:rPr>
            </w:pPr>
            <w:r>
              <w:rPr>
                <w:rFonts w:ascii="Arial" w:cs="Arial" w:eastAsia="Arial" w:hAnsi="Arial"/>
                <w:sz w:val="16"/>
                <w:szCs w:val="16"/>
                <w:color w:val="auto"/>
              </w:rPr>
              <w:t>C</w:t>
            </w:r>
          </w:p>
        </w:tc>
        <w:tc>
          <w:tcPr>
            <w:tcW w:w="680" w:type="dxa"/>
            <w:vAlign w:val="bottom"/>
            <w:tcBorders>
              <w:right w:val="single" w:sz="8" w:color="2D53A6"/>
            </w:tcBorders>
          </w:tcPr>
          <w:p>
            <w:pPr>
              <w:jc w:val="center"/>
              <w:spacing w:after="0"/>
              <w:rPr>
                <w:sz w:val="20"/>
                <w:szCs w:val="20"/>
                <w:color w:val="auto"/>
              </w:rPr>
            </w:pPr>
            <w:r>
              <w:rPr>
                <w:rFonts w:ascii="Arial" w:cs="Arial" w:eastAsia="Arial" w:hAnsi="Arial"/>
                <w:sz w:val="16"/>
                <w:szCs w:val="16"/>
                <w:color w:val="auto"/>
                <w:w w:val="89"/>
              </w:rPr>
              <w:t>M</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1820" w:type="dxa"/>
            <w:vAlign w:val="bottom"/>
            <w:tcBorders>
              <w:bottom w:val="single" w:sz="8" w:color="2D53A6"/>
              <w:right w:val="single" w:sz="8" w:color="2D53A6"/>
            </w:tcBorders>
          </w:tcPr>
          <w:p>
            <w:pPr>
              <w:spacing w:after="0"/>
              <w:rPr>
                <w:sz w:val="2"/>
                <w:szCs w:val="2"/>
                <w:color w:val="auto"/>
              </w:rPr>
            </w:pPr>
          </w:p>
        </w:tc>
        <w:tc>
          <w:tcPr>
            <w:tcW w:w="940" w:type="dxa"/>
            <w:vAlign w:val="bottom"/>
            <w:tcBorders>
              <w:bottom w:val="single" w:sz="8" w:color="2D53A6"/>
              <w:right w:val="single" w:sz="8" w:color="2D53A6"/>
            </w:tcBorders>
          </w:tcPr>
          <w:p>
            <w:pPr>
              <w:spacing w:after="0"/>
              <w:rPr>
                <w:sz w:val="2"/>
                <w:szCs w:val="2"/>
                <w:color w:val="auto"/>
              </w:rPr>
            </w:pPr>
          </w:p>
        </w:tc>
        <w:tc>
          <w:tcPr>
            <w:tcW w:w="960" w:type="dxa"/>
            <w:vAlign w:val="bottom"/>
            <w:tcBorders>
              <w:bottom w:val="single" w:sz="8" w:color="2D53A6"/>
              <w:right w:val="single" w:sz="8" w:color="2D53A6"/>
            </w:tcBorders>
          </w:tcPr>
          <w:p>
            <w:pPr>
              <w:spacing w:after="0"/>
              <w:rPr>
                <w:sz w:val="2"/>
                <w:szCs w:val="2"/>
                <w:color w:val="auto"/>
              </w:rPr>
            </w:pPr>
          </w:p>
        </w:tc>
        <w:tc>
          <w:tcPr>
            <w:tcW w:w="1540" w:type="dxa"/>
            <w:vAlign w:val="bottom"/>
            <w:tcBorders>
              <w:bottom w:val="single" w:sz="8" w:color="2D53A6"/>
              <w:right w:val="single" w:sz="8" w:color="2D53A6"/>
            </w:tcBorders>
          </w:tcPr>
          <w:p>
            <w:pPr>
              <w:spacing w:after="0"/>
              <w:rPr>
                <w:sz w:val="2"/>
                <w:szCs w:val="2"/>
                <w:color w:val="auto"/>
              </w:rPr>
            </w:pPr>
          </w:p>
        </w:tc>
        <w:tc>
          <w:tcPr>
            <w:tcW w:w="1180" w:type="dxa"/>
            <w:vAlign w:val="bottom"/>
            <w:tcBorders>
              <w:bottom w:val="single" w:sz="8" w:color="2D53A6"/>
              <w:right w:val="single" w:sz="8" w:color="2D53A6"/>
            </w:tcBorders>
          </w:tcPr>
          <w:p>
            <w:pPr>
              <w:spacing w:after="0"/>
              <w:rPr>
                <w:sz w:val="2"/>
                <w:szCs w:val="2"/>
                <w:color w:val="auto"/>
              </w:rPr>
            </w:pPr>
          </w:p>
        </w:tc>
        <w:tc>
          <w:tcPr>
            <w:tcW w:w="660" w:type="dxa"/>
            <w:vAlign w:val="bottom"/>
            <w:tcBorders>
              <w:bottom w:val="single" w:sz="8" w:color="2D53A6"/>
              <w:right w:val="single" w:sz="8" w:color="2D53A6"/>
            </w:tcBorders>
          </w:tcPr>
          <w:p>
            <w:pPr>
              <w:spacing w:after="0"/>
              <w:rPr>
                <w:sz w:val="2"/>
                <w:szCs w:val="2"/>
                <w:color w:val="auto"/>
              </w:rPr>
            </w:pPr>
          </w:p>
        </w:tc>
        <w:tc>
          <w:tcPr>
            <w:tcW w:w="680" w:type="dxa"/>
            <w:vAlign w:val="bottom"/>
            <w:tcBorders>
              <w:bottom w:val="single" w:sz="8" w:color="2D53A6"/>
              <w:right w:val="single" w:sz="8" w:color="2D53A6"/>
            </w:tcBorders>
          </w:tcPr>
          <w:p>
            <w:pPr>
              <w:spacing w:after="0"/>
              <w:rPr>
                <w:sz w:val="2"/>
                <w:szCs w:val="2"/>
                <w:color w:val="auto"/>
              </w:rPr>
            </w:pPr>
          </w:p>
        </w:tc>
        <w:tc>
          <w:tcPr>
            <w:tcW w:w="680" w:type="dxa"/>
            <w:vAlign w:val="bottom"/>
            <w:tcBorders>
              <w:bottom w:val="single" w:sz="8" w:color="2D53A6"/>
              <w:right w:val="single" w:sz="8" w:color="2D53A6"/>
            </w:tcBorders>
          </w:tcPr>
          <w:p>
            <w:pPr>
              <w:spacing w:after="0"/>
              <w:rPr>
                <w:sz w:val="2"/>
                <w:szCs w:val="2"/>
                <w:color w:val="auto"/>
              </w:rPr>
            </w:pPr>
          </w:p>
        </w:tc>
        <w:tc>
          <w:tcPr>
            <w:tcW w:w="278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82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6"/>
                <w:szCs w:val="16"/>
                <w:color w:val="auto"/>
              </w:rPr>
              <w:t>James A. Donahue</w:t>
            </w:r>
          </w:p>
        </w:tc>
        <w:tc>
          <w:tcPr>
            <w:tcW w:w="94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6"/>
                <w:szCs w:val="16"/>
                <w:color w:val="auto"/>
              </w:rPr>
              <w:t>76</w:t>
            </w:r>
          </w:p>
        </w:tc>
        <w:tc>
          <w:tcPr>
            <w:tcW w:w="960" w:type="dxa"/>
            <w:vAlign w:val="bottom"/>
            <w:tcBorders>
              <w:bottom w:val="single" w:sz="8" w:color="E6E6E6"/>
              <w:right w:val="single" w:sz="8" w:color="2D53A6"/>
            </w:tcBorders>
            <w:shd w:val="clear" w:color="auto" w:fill="E6E6E6"/>
          </w:tcPr>
          <w:p>
            <w:pPr>
              <w:jc w:val="right"/>
              <w:ind w:right="239"/>
              <w:spacing w:after="0"/>
              <w:rPr>
                <w:sz w:val="20"/>
                <w:szCs w:val="20"/>
                <w:color w:val="auto"/>
              </w:rPr>
            </w:pPr>
            <w:r>
              <w:rPr>
                <w:rFonts w:ascii="Arial" w:cs="Arial" w:eastAsia="Arial" w:hAnsi="Arial"/>
                <w:sz w:val="16"/>
                <w:szCs w:val="16"/>
                <w:color w:val="auto"/>
              </w:rPr>
              <w:t>1999</w:t>
            </w:r>
          </w:p>
        </w:tc>
        <w:tc>
          <w:tcPr>
            <w:tcW w:w="154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6"/>
                <w:szCs w:val="16"/>
                <w:color w:val="auto"/>
              </w:rPr>
              <w:t>No</w:t>
            </w:r>
          </w:p>
        </w:tc>
        <w:tc>
          <w:tcPr>
            <w:tcW w:w="118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6"/>
                <w:szCs w:val="16"/>
                <w:color w:val="auto"/>
              </w:rPr>
              <w:t>3 -- 2025</w:t>
            </w:r>
          </w:p>
        </w:tc>
        <w:tc>
          <w:tcPr>
            <w:tcW w:w="660" w:type="dxa"/>
            <w:vAlign w:val="bottom"/>
            <w:tcBorders>
              <w:bottom w:val="single" w:sz="8" w:color="E6E6E6"/>
              <w:right w:val="single" w:sz="8" w:color="2D53A6"/>
            </w:tcBorders>
            <w:shd w:val="clear" w:color="auto" w:fill="E6E6E6"/>
          </w:tcPr>
          <w:p>
            <w:pPr>
              <w:spacing w:after="0"/>
              <w:rPr>
                <w:sz w:val="22"/>
                <w:szCs w:val="22"/>
                <w:color w:val="auto"/>
              </w:rPr>
            </w:pPr>
          </w:p>
        </w:tc>
        <w:tc>
          <w:tcPr>
            <w:tcW w:w="680" w:type="dxa"/>
            <w:vAlign w:val="bottom"/>
            <w:tcBorders>
              <w:bottom w:val="single" w:sz="8" w:color="E6E6E6"/>
              <w:right w:val="single" w:sz="8" w:color="2D53A6"/>
            </w:tcBorders>
            <w:shd w:val="clear" w:color="auto" w:fill="E6E6E6"/>
          </w:tcPr>
          <w:p>
            <w:pPr>
              <w:spacing w:after="0"/>
              <w:rPr>
                <w:sz w:val="22"/>
                <w:szCs w:val="22"/>
                <w:color w:val="auto"/>
              </w:rPr>
            </w:pPr>
          </w:p>
        </w:tc>
        <w:tc>
          <w:tcPr>
            <w:tcW w:w="680" w:type="dxa"/>
            <w:vAlign w:val="bottom"/>
            <w:tcBorders>
              <w:bottom w:val="single" w:sz="8" w:color="E6E6E6"/>
              <w:right w:val="single" w:sz="8" w:color="2D53A6"/>
            </w:tcBorders>
            <w:shd w:val="clear" w:color="auto" w:fill="E6E6E6"/>
          </w:tcPr>
          <w:p>
            <w:pPr>
              <w:spacing w:after="0"/>
              <w:rPr>
                <w:sz w:val="22"/>
                <w:szCs w:val="22"/>
                <w:color w:val="auto"/>
              </w:rPr>
            </w:pPr>
          </w:p>
        </w:tc>
        <w:tc>
          <w:tcPr>
            <w:tcW w:w="278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82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6"/>
                <w:szCs w:val="16"/>
                <w:color w:val="auto"/>
              </w:rPr>
              <w:t>Andreas W. Mattes</w:t>
            </w:r>
          </w:p>
        </w:tc>
        <w:tc>
          <w:tcPr>
            <w:tcW w:w="94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6"/>
                <w:szCs w:val="16"/>
                <w:color w:val="auto"/>
              </w:rPr>
              <w:t>63</w:t>
            </w:r>
          </w:p>
        </w:tc>
        <w:tc>
          <w:tcPr>
            <w:tcW w:w="960" w:type="dxa"/>
            <w:vAlign w:val="bottom"/>
            <w:tcBorders>
              <w:top w:val="single" w:sz="8" w:color="2D53A6"/>
              <w:right w:val="single" w:sz="8" w:color="2D53A6"/>
            </w:tcBorders>
          </w:tcPr>
          <w:p>
            <w:pPr>
              <w:jc w:val="right"/>
              <w:ind w:right="239"/>
              <w:spacing w:after="0"/>
              <w:rPr>
                <w:sz w:val="20"/>
                <w:szCs w:val="20"/>
                <w:color w:val="auto"/>
              </w:rPr>
            </w:pPr>
            <w:r>
              <w:rPr>
                <w:rFonts w:ascii="Arial" w:cs="Arial" w:eastAsia="Arial" w:hAnsi="Arial"/>
                <w:sz w:val="16"/>
                <w:szCs w:val="16"/>
                <w:color w:val="auto"/>
              </w:rPr>
              <w:t>2022</w:t>
            </w:r>
          </w:p>
        </w:tc>
        <w:tc>
          <w:tcPr>
            <w:tcW w:w="154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6"/>
                <w:szCs w:val="16"/>
                <w:color w:val="auto"/>
                <w:w w:val="94"/>
              </w:rPr>
              <w:t>Yes</w:t>
            </w:r>
          </w:p>
        </w:tc>
        <w:tc>
          <w:tcPr>
            <w:tcW w:w="118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6"/>
                <w:szCs w:val="16"/>
                <w:color w:val="auto"/>
              </w:rPr>
              <w:t>3 -- 2025</w:t>
            </w:r>
          </w:p>
        </w:tc>
        <w:tc>
          <w:tcPr>
            <w:tcW w:w="660" w:type="dxa"/>
            <w:vAlign w:val="bottom"/>
            <w:tcBorders>
              <w:top w:val="single" w:sz="8" w:color="2D53A6"/>
              <w:right w:val="single" w:sz="8" w:color="2D53A6"/>
            </w:tcBorders>
          </w:tcPr>
          <w:p>
            <w:pPr>
              <w:spacing w:after="0"/>
              <w:rPr>
                <w:sz w:val="20"/>
                <w:szCs w:val="20"/>
                <w:color w:val="auto"/>
              </w:rPr>
            </w:pPr>
          </w:p>
        </w:tc>
        <w:tc>
          <w:tcPr>
            <w:tcW w:w="68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6"/>
                <w:szCs w:val="16"/>
                <w:color w:val="auto"/>
              </w:rPr>
              <w:t>M</w:t>
            </w:r>
          </w:p>
        </w:tc>
        <w:tc>
          <w:tcPr>
            <w:tcW w:w="680" w:type="dxa"/>
            <w:vAlign w:val="bottom"/>
            <w:tcBorders>
              <w:top w:val="single" w:sz="8" w:color="2D53A6"/>
              <w:right w:val="single" w:sz="8" w:color="2D53A6"/>
            </w:tcBorders>
          </w:tcPr>
          <w:p>
            <w:pPr>
              <w:spacing w:after="0"/>
              <w:rPr>
                <w:sz w:val="20"/>
                <w:szCs w:val="20"/>
                <w:color w:val="auto"/>
              </w:rPr>
            </w:pPr>
          </w:p>
        </w:tc>
        <w:tc>
          <w:tcPr>
            <w:tcW w:w="2780" w:type="dxa"/>
            <w:vAlign w:val="bottom"/>
            <w:tcBorders>
              <w:top w:val="single" w:sz="8" w:color="2D53A6"/>
            </w:tcBorders>
          </w:tcPr>
          <w:p>
            <w:pPr>
              <w:ind w:left="20"/>
              <w:spacing w:after="0"/>
              <w:rPr>
                <w:sz w:val="20"/>
                <w:szCs w:val="20"/>
                <w:color w:val="auto"/>
              </w:rPr>
            </w:pPr>
            <w:r>
              <w:rPr>
                <w:rFonts w:ascii="Arial" w:cs="Arial" w:eastAsia="Arial" w:hAnsi="Arial"/>
                <w:sz w:val="16"/>
                <w:szCs w:val="16"/>
                <w:color w:val="auto"/>
              </w:rPr>
              <w:t>ams-OSRAM AG</w:t>
            </w:r>
          </w:p>
        </w:tc>
        <w:tc>
          <w:tcPr>
            <w:tcW w:w="0" w:type="dxa"/>
            <w:vAlign w:val="bottom"/>
          </w:tcPr>
          <w:p>
            <w:pPr>
              <w:spacing w:after="0"/>
              <w:rPr>
                <w:sz w:val="1"/>
                <w:szCs w:val="1"/>
                <w:color w:val="auto"/>
              </w:rPr>
            </w:pPr>
          </w:p>
        </w:tc>
      </w:tr>
      <w:tr>
        <w:trPr>
          <w:trHeight w:val="29"/>
        </w:trPr>
        <w:tc>
          <w:tcPr>
            <w:tcW w:w="1820" w:type="dxa"/>
            <w:vAlign w:val="bottom"/>
            <w:tcBorders>
              <w:bottom w:val="single" w:sz="8" w:color="2D53A6"/>
              <w:right w:val="single" w:sz="8" w:color="2D53A6"/>
            </w:tcBorders>
          </w:tcPr>
          <w:p>
            <w:pPr>
              <w:spacing w:after="0"/>
              <w:rPr>
                <w:sz w:val="2"/>
                <w:szCs w:val="2"/>
                <w:color w:val="auto"/>
              </w:rPr>
            </w:pPr>
          </w:p>
        </w:tc>
        <w:tc>
          <w:tcPr>
            <w:tcW w:w="940" w:type="dxa"/>
            <w:vAlign w:val="bottom"/>
            <w:tcBorders>
              <w:bottom w:val="single" w:sz="8" w:color="2D53A6"/>
              <w:right w:val="single" w:sz="8" w:color="2D53A6"/>
            </w:tcBorders>
          </w:tcPr>
          <w:p>
            <w:pPr>
              <w:spacing w:after="0"/>
              <w:rPr>
                <w:sz w:val="2"/>
                <w:szCs w:val="2"/>
                <w:color w:val="auto"/>
              </w:rPr>
            </w:pPr>
          </w:p>
        </w:tc>
        <w:tc>
          <w:tcPr>
            <w:tcW w:w="960" w:type="dxa"/>
            <w:vAlign w:val="bottom"/>
            <w:tcBorders>
              <w:bottom w:val="single" w:sz="8" w:color="2D53A6"/>
              <w:right w:val="single" w:sz="8" w:color="2D53A6"/>
            </w:tcBorders>
          </w:tcPr>
          <w:p>
            <w:pPr>
              <w:spacing w:after="0"/>
              <w:rPr>
                <w:sz w:val="2"/>
                <w:szCs w:val="2"/>
                <w:color w:val="auto"/>
              </w:rPr>
            </w:pPr>
          </w:p>
        </w:tc>
        <w:tc>
          <w:tcPr>
            <w:tcW w:w="1540" w:type="dxa"/>
            <w:vAlign w:val="bottom"/>
            <w:tcBorders>
              <w:bottom w:val="single" w:sz="8" w:color="2D53A6"/>
              <w:right w:val="single" w:sz="8" w:color="2D53A6"/>
            </w:tcBorders>
          </w:tcPr>
          <w:p>
            <w:pPr>
              <w:spacing w:after="0"/>
              <w:rPr>
                <w:sz w:val="2"/>
                <w:szCs w:val="2"/>
                <w:color w:val="auto"/>
              </w:rPr>
            </w:pPr>
          </w:p>
        </w:tc>
        <w:tc>
          <w:tcPr>
            <w:tcW w:w="1180" w:type="dxa"/>
            <w:vAlign w:val="bottom"/>
            <w:tcBorders>
              <w:bottom w:val="single" w:sz="8" w:color="2D53A6"/>
              <w:right w:val="single" w:sz="8" w:color="2D53A6"/>
            </w:tcBorders>
          </w:tcPr>
          <w:p>
            <w:pPr>
              <w:spacing w:after="0"/>
              <w:rPr>
                <w:sz w:val="2"/>
                <w:szCs w:val="2"/>
                <w:color w:val="auto"/>
              </w:rPr>
            </w:pPr>
          </w:p>
        </w:tc>
        <w:tc>
          <w:tcPr>
            <w:tcW w:w="660" w:type="dxa"/>
            <w:vAlign w:val="bottom"/>
            <w:tcBorders>
              <w:bottom w:val="single" w:sz="8" w:color="2D53A6"/>
              <w:right w:val="single" w:sz="8" w:color="2D53A6"/>
            </w:tcBorders>
          </w:tcPr>
          <w:p>
            <w:pPr>
              <w:spacing w:after="0"/>
              <w:rPr>
                <w:sz w:val="2"/>
                <w:szCs w:val="2"/>
                <w:color w:val="auto"/>
              </w:rPr>
            </w:pPr>
          </w:p>
        </w:tc>
        <w:tc>
          <w:tcPr>
            <w:tcW w:w="680" w:type="dxa"/>
            <w:vAlign w:val="bottom"/>
            <w:tcBorders>
              <w:bottom w:val="single" w:sz="8" w:color="2D53A6"/>
              <w:right w:val="single" w:sz="8" w:color="2D53A6"/>
            </w:tcBorders>
          </w:tcPr>
          <w:p>
            <w:pPr>
              <w:spacing w:after="0"/>
              <w:rPr>
                <w:sz w:val="2"/>
                <w:szCs w:val="2"/>
                <w:color w:val="auto"/>
              </w:rPr>
            </w:pPr>
          </w:p>
        </w:tc>
        <w:tc>
          <w:tcPr>
            <w:tcW w:w="680" w:type="dxa"/>
            <w:vAlign w:val="bottom"/>
            <w:tcBorders>
              <w:bottom w:val="single" w:sz="8" w:color="2D53A6"/>
              <w:right w:val="single" w:sz="8" w:color="2D53A6"/>
            </w:tcBorders>
          </w:tcPr>
          <w:p>
            <w:pPr>
              <w:spacing w:after="0"/>
              <w:rPr>
                <w:sz w:val="2"/>
                <w:szCs w:val="2"/>
                <w:color w:val="auto"/>
              </w:rPr>
            </w:pPr>
          </w:p>
        </w:tc>
        <w:tc>
          <w:tcPr>
            <w:tcW w:w="278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720" w:type="dxa"/>
            <w:vAlign w:val="bottom"/>
            <w:gridSpan w:val="3"/>
          </w:tcPr>
          <w:p>
            <w:pPr>
              <w:ind w:left="40"/>
              <w:spacing w:after="0"/>
              <w:rPr>
                <w:sz w:val="20"/>
                <w:szCs w:val="20"/>
                <w:color w:val="auto"/>
              </w:rPr>
            </w:pPr>
            <w:r>
              <w:rPr>
                <w:rFonts w:ascii="Arial" w:cs="Arial" w:eastAsia="Arial" w:hAnsi="Arial"/>
                <w:sz w:val="16"/>
                <w:szCs w:val="16"/>
                <w:i w:val="1"/>
                <w:iCs w:val="1"/>
                <w:color w:val="auto"/>
              </w:rPr>
              <w:t>Other Directors Not Standing for Election in 2025</w:t>
            </w:r>
          </w:p>
        </w:tc>
        <w:tc>
          <w:tcPr>
            <w:tcW w:w="1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1820" w:type="dxa"/>
            <w:vAlign w:val="bottom"/>
            <w:tcBorders>
              <w:bottom w:val="single" w:sz="8" w:color="2D53A6"/>
            </w:tcBorders>
          </w:tcPr>
          <w:p>
            <w:pPr>
              <w:spacing w:after="0"/>
              <w:rPr>
                <w:sz w:val="2"/>
                <w:szCs w:val="2"/>
                <w:color w:val="auto"/>
              </w:rPr>
            </w:pPr>
          </w:p>
        </w:tc>
        <w:tc>
          <w:tcPr>
            <w:tcW w:w="940" w:type="dxa"/>
            <w:vAlign w:val="bottom"/>
            <w:tcBorders>
              <w:bottom w:val="single" w:sz="8" w:color="2D53A6"/>
            </w:tcBorders>
          </w:tcPr>
          <w:p>
            <w:pPr>
              <w:spacing w:after="0"/>
              <w:rPr>
                <w:sz w:val="2"/>
                <w:szCs w:val="2"/>
                <w:color w:val="auto"/>
              </w:rPr>
            </w:pPr>
          </w:p>
        </w:tc>
        <w:tc>
          <w:tcPr>
            <w:tcW w:w="960" w:type="dxa"/>
            <w:vAlign w:val="bottom"/>
            <w:tcBorders>
              <w:bottom w:val="single" w:sz="8" w:color="2D53A6"/>
            </w:tcBorders>
          </w:tcPr>
          <w:p>
            <w:pPr>
              <w:spacing w:after="0"/>
              <w:rPr>
                <w:sz w:val="2"/>
                <w:szCs w:val="2"/>
                <w:color w:val="auto"/>
              </w:rPr>
            </w:pPr>
          </w:p>
        </w:tc>
        <w:tc>
          <w:tcPr>
            <w:tcW w:w="1540" w:type="dxa"/>
            <w:vAlign w:val="bottom"/>
            <w:tcBorders>
              <w:bottom w:val="single" w:sz="8" w:color="2D53A6"/>
            </w:tcBorders>
          </w:tcPr>
          <w:p>
            <w:pPr>
              <w:spacing w:after="0"/>
              <w:rPr>
                <w:sz w:val="2"/>
                <w:szCs w:val="2"/>
                <w:color w:val="auto"/>
              </w:rPr>
            </w:pPr>
          </w:p>
        </w:tc>
        <w:tc>
          <w:tcPr>
            <w:tcW w:w="1180" w:type="dxa"/>
            <w:vAlign w:val="bottom"/>
            <w:tcBorders>
              <w:bottom w:val="single" w:sz="8" w:color="2D53A6"/>
            </w:tcBorders>
          </w:tcPr>
          <w:p>
            <w:pPr>
              <w:spacing w:after="0"/>
              <w:rPr>
                <w:sz w:val="2"/>
                <w:szCs w:val="2"/>
                <w:color w:val="auto"/>
              </w:rPr>
            </w:pPr>
          </w:p>
        </w:tc>
        <w:tc>
          <w:tcPr>
            <w:tcW w:w="660" w:type="dxa"/>
            <w:vAlign w:val="bottom"/>
            <w:tcBorders>
              <w:bottom w:val="single" w:sz="8" w:color="2D53A6"/>
            </w:tcBorders>
          </w:tcPr>
          <w:p>
            <w:pPr>
              <w:spacing w:after="0"/>
              <w:rPr>
                <w:sz w:val="2"/>
                <w:szCs w:val="2"/>
                <w:color w:val="auto"/>
              </w:rPr>
            </w:pPr>
          </w:p>
        </w:tc>
        <w:tc>
          <w:tcPr>
            <w:tcW w:w="680" w:type="dxa"/>
            <w:vAlign w:val="bottom"/>
            <w:tcBorders>
              <w:bottom w:val="single" w:sz="8" w:color="2D53A6"/>
            </w:tcBorders>
          </w:tcPr>
          <w:p>
            <w:pPr>
              <w:spacing w:after="0"/>
              <w:rPr>
                <w:sz w:val="2"/>
                <w:szCs w:val="2"/>
                <w:color w:val="auto"/>
              </w:rPr>
            </w:pPr>
          </w:p>
        </w:tc>
        <w:tc>
          <w:tcPr>
            <w:tcW w:w="680" w:type="dxa"/>
            <w:vAlign w:val="bottom"/>
            <w:tcBorders>
              <w:bottom w:val="single" w:sz="8" w:color="2D53A6"/>
            </w:tcBorders>
          </w:tcPr>
          <w:p>
            <w:pPr>
              <w:spacing w:after="0"/>
              <w:rPr>
                <w:sz w:val="2"/>
                <w:szCs w:val="2"/>
                <w:color w:val="auto"/>
              </w:rPr>
            </w:pPr>
          </w:p>
        </w:tc>
        <w:tc>
          <w:tcPr>
            <w:tcW w:w="278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82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6"/>
                <w:szCs w:val="16"/>
                <w:color w:val="auto"/>
              </w:rPr>
              <w:t>William E. Bendush</w:t>
            </w:r>
          </w:p>
        </w:tc>
        <w:tc>
          <w:tcPr>
            <w:tcW w:w="94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6"/>
                <w:szCs w:val="16"/>
                <w:color w:val="auto"/>
              </w:rPr>
              <w:t>76</w:t>
            </w:r>
          </w:p>
        </w:tc>
        <w:tc>
          <w:tcPr>
            <w:tcW w:w="960" w:type="dxa"/>
            <w:vAlign w:val="bottom"/>
            <w:tcBorders>
              <w:bottom w:val="single" w:sz="8" w:color="E6E6E6"/>
              <w:right w:val="single" w:sz="8" w:color="2D53A6"/>
            </w:tcBorders>
            <w:shd w:val="clear" w:color="auto" w:fill="E6E6E6"/>
          </w:tcPr>
          <w:p>
            <w:pPr>
              <w:jc w:val="right"/>
              <w:ind w:right="239"/>
              <w:spacing w:after="0"/>
              <w:rPr>
                <w:sz w:val="20"/>
                <w:szCs w:val="20"/>
                <w:color w:val="auto"/>
              </w:rPr>
            </w:pPr>
            <w:r>
              <w:rPr>
                <w:rFonts w:ascii="Arial" w:cs="Arial" w:eastAsia="Arial" w:hAnsi="Arial"/>
                <w:sz w:val="16"/>
                <w:szCs w:val="16"/>
                <w:color w:val="auto"/>
              </w:rPr>
              <w:t>2011</w:t>
            </w:r>
          </w:p>
        </w:tc>
        <w:tc>
          <w:tcPr>
            <w:tcW w:w="154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6"/>
                <w:szCs w:val="16"/>
                <w:color w:val="auto"/>
                <w:w w:val="94"/>
              </w:rPr>
              <w:t>Yes</w:t>
            </w:r>
          </w:p>
        </w:tc>
        <w:tc>
          <w:tcPr>
            <w:tcW w:w="118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6"/>
                <w:szCs w:val="16"/>
                <w:color w:val="auto"/>
              </w:rPr>
              <w:t>1 -- 2026</w:t>
            </w:r>
          </w:p>
        </w:tc>
        <w:tc>
          <w:tcPr>
            <w:tcW w:w="660" w:type="dxa"/>
            <w:vAlign w:val="bottom"/>
            <w:tcBorders>
              <w:bottom w:val="single" w:sz="8" w:color="E6E6E6"/>
              <w:right w:val="single" w:sz="8" w:color="2D53A6"/>
            </w:tcBorders>
            <w:shd w:val="clear" w:color="auto" w:fill="E6E6E6"/>
          </w:tcPr>
          <w:p>
            <w:pPr>
              <w:jc w:val="right"/>
              <w:ind w:right="159"/>
              <w:spacing w:after="0"/>
              <w:rPr>
                <w:sz w:val="20"/>
                <w:szCs w:val="20"/>
                <w:color w:val="auto"/>
              </w:rPr>
            </w:pPr>
            <w:r>
              <w:rPr>
                <w:rFonts w:ascii="Arial" w:cs="Arial" w:eastAsia="Arial" w:hAnsi="Arial"/>
                <w:sz w:val="16"/>
                <w:szCs w:val="16"/>
                <w:color w:val="auto"/>
              </w:rPr>
              <w:t>C+</w:t>
            </w:r>
          </w:p>
        </w:tc>
        <w:tc>
          <w:tcPr>
            <w:tcW w:w="680" w:type="dxa"/>
            <w:vAlign w:val="bottom"/>
            <w:tcBorders>
              <w:bottom w:val="single" w:sz="8" w:color="E6E6E6"/>
              <w:right w:val="single" w:sz="8" w:color="2D53A6"/>
            </w:tcBorders>
            <w:shd w:val="clear" w:color="auto" w:fill="E6E6E6"/>
          </w:tcPr>
          <w:p>
            <w:pPr>
              <w:spacing w:after="0"/>
              <w:rPr>
                <w:sz w:val="22"/>
                <w:szCs w:val="22"/>
                <w:color w:val="auto"/>
              </w:rPr>
            </w:pPr>
          </w:p>
        </w:tc>
        <w:tc>
          <w:tcPr>
            <w:tcW w:w="68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6"/>
                <w:szCs w:val="16"/>
                <w:color w:val="auto"/>
                <w:w w:val="89"/>
              </w:rPr>
              <w:t>M</w:t>
            </w:r>
          </w:p>
        </w:tc>
        <w:tc>
          <w:tcPr>
            <w:tcW w:w="278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82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6"/>
                <w:szCs w:val="16"/>
                <w:color w:val="auto"/>
              </w:rPr>
              <w:t>Andrew M. Caggia</w:t>
            </w:r>
          </w:p>
        </w:tc>
        <w:tc>
          <w:tcPr>
            <w:tcW w:w="94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6"/>
                <w:szCs w:val="16"/>
                <w:color w:val="auto"/>
              </w:rPr>
              <w:t>76</w:t>
            </w:r>
          </w:p>
        </w:tc>
        <w:tc>
          <w:tcPr>
            <w:tcW w:w="960" w:type="dxa"/>
            <w:vAlign w:val="bottom"/>
            <w:tcBorders>
              <w:top w:val="single" w:sz="8" w:color="2D53A6"/>
              <w:right w:val="single" w:sz="8" w:color="2D53A6"/>
            </w:tcBorders>
          </w:tcPr>
          <w:p>
            <w:pPr>
              <w:jc w:val="right"/>
              <w:ind w:right="219"/>
              <w:spacing w:after="0"/>
              <w:rPr>
                <w:sz w:val="20"/>
                <w:szCs w:val="20"/>
                <w:color w:val="auto"/>
              </w:rPr>
            </w:pPr>
            <w:r>
              <w:rPr>
                <w:rFonts w:ascii="Arial" w:cs="Arial" w:eastAsia="Arial" w:hAnsi="Arial"/>
                <w:sz w:val="16"/>
                <w:szCs w:val="16"/>
                <w:color w:val="auto"/>
              </w:rPr>
              <w:t>2014</w:t>
            </w:r>
          </w:p>
        </w:tc>
        <w:tc>
          <w:tcPr>
            <w:tcW w:w="154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6"/>
                <w:szCs w:val="16"/>
                <w:color w:val="auto"/>
                <w:w w:val="94"/>
              </w:rPr>
              <w:t>Yes</w:t>
            </w:r>
          </w:p>
        </w:tc>
        <w:tc>
          <w:tcPr>
            <w:tcW w:w="118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6"/>
                <w:szCs w:val="16"/>
                <w:color w:val="auto"/>
              </w:rPr>
              <w:t>2 -- 2024</w:t>
            </w:r>
          </w:p>
        </w:tc>
        <w:tc>
          <w:tcPr>
            <w:tcW w:w="660" w:type="dxa"/>
            <w:vAlign w:val="bottom"/>
            <w:tcBorders>
              <w:top w:val="single" w:sz="8" w:color="2D53A6"/>
              <w:right w:val="single" w:sz="8" w:color="2D53A6"/>
            </w:tcBorders>
          </w:tcPr>
          <w:p>
            <w:pPr>
              <w:spacing w:after="0"/>
              <w:rPr>
                <w:sz w:val="20"/>
                <w:szCs w:val="20"/>
                <w:color w:val="auto"/>
              </w:rPr>
            </w:pPr>
          </w:p>
        </w:tc>
        <w:tc>
          <w:tcPr>
            <w:tcW w:w="680" w:type="dxa"/>
            <w:vAlign w:val="bottom"/>
            <w:tcBorders>
              <w:top w:val="single" w:sz="8" w:color="2D53A6"/>
              <w:right w:val="single" w:sz="8" w:color="2D53A6"/>
            </w:tcBorders>
          </w:tcPr>
          <w:p>
            <w:pPr>
              <w:spacing w:after="0"/>
              <w:rPr>
                <w:sz w:val="20"/>
                <w:szCs w:val="20"/>
                <w:color w:val="auto"/>
              </w:rPr>
            </w:pPr>
          </w:p>
        </w:tc>
        <w:tc>
          <w:tcPr>
            <w:tcW w:w="68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6"/>
                <w:szCs w:val="16"/>
                <w:color w:val="auto"/>
              </w:rPr>
              <w:t>C</w:t>
            </w:r>
          </w:p>
        </w:tc>
        <w:tc>
          <w:tcPr>
            <w:tcW w:w="2780" w:type="dxa"/>
            <w:vAlign w:val="bottom"/>
            <w:tcBorders>
              <w:top w:val="single" w:sz="8" w:color="2D53A6"/>
            </w:tcBorders>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1820" w:type="dxa"/>
            <w:vAlign w:val="bottom"/>
            <w:tcBorders>
              <w:bottom w:val="single" w:sz="8" w:color="2D53A6"/>
              <w:right w:val="single" w:sz="8" w:color="2D53A6"/>
            </w:tcBorders>
          </w:tcPr>
          <w:p>
            <w:pPr>
              <w:spacing w:after="0"/>
              <w:rPr>
                <w:sz w:val="2"/>
                <w:szCs w:val="2"/>
                <w:color w:val="auto"/>
              </w:rPr>
            </w:pPr>
          </w:p>
        </w:tc>
        <w:tc>
          <w:tcPr>
            <w:tcW w:w="940" w:type="dxa"/>
            <w:vAlign w:val="bottom"/>
            <w:tcBorders>
              <w:bottom w:val="single" w:sz="8" w:color="2D53A6"/>
              <w:right w:val="single" w:sz="8" w:color="2D53A6"/>
            </w:tcBorders>
          </w:tcPr>
          <w:p>
            <w:pPr>
              <w:spacing w:after="0"/>
              <w:rPr>
                <w:sz w:val="2"/>
                <w:szCs w:val="2"/>
                <w:color w:val="auto"/>
              </w:rPr>
            </w:pPr>
          </w:p>
        </w:tc>
        <w:tc>
          <w:tcPr>
            <w:tcW w:w="960" w:type="dxa"/>
            <w:vAlign w:val="bottom"/>
            <w:tcBorders>
              <w:bottom w:val="single" w:sz="8" w:color="2D53A6"/>
              <w:right w:val="single" w:sz="8" w:color="2D53A6"/>
            </w:tcBorders>
          </w:tcPr>
          <w:p>
            <w:pPr>
              <w:spacing w:after="0"/>
              <w:rPr>
                <w:sz w:val="2"/>
                <w:szCs w:val="2"/>
                <w:color w:val="auto"/>
              </w:rPr>
            </w:pPr>
          </w:p>
        </w:tc>
        <w:tc>
          <w:tcPr>
            <w:tcW w:w="1540" w:type="dxa"/>
            <w:vAlign w:val="bottom"/>
            <w:tcBorders>
              <w:bottom w:val="single" w:sz="8" w:color="2D53A6"/>
              <w:right w:val="single" w:sz="8" w:color="2D53A6"/>
            </w:tcBorders>
          </w:tcPr>
          <w:p>
            <w:pPr>
              <w:spacing w:after="0"/>
              <w:rPr>
                <w:sz w:val="2"/>
                <w:szCs w:val="2"/>
                <w:color w:val="auto"/>
              </w:rPr>
            </w:pPr>
          </w:p>
        </w:tc>
        <w:tc>
          <w:tcPr>
            <w:tcW w:w="1180" w:type="dxa"/>
            <w:vAlign w:val="bottom"/>
            <w:tcBorders>
              <w:bottom w:val="single" w:sz="8" w:color="2D53A6"/>
              <w:right w:val="single" w:sz="8" w:color="2D53A6"/>
            </w:tcBorders>
          </w:tcPr>
          <w:p>
            <w:pPr>
              <w:spacing w:after="0"/>
              <w:rPr>
                <w:sz w:val="2"/>
                <w:szCs w:val="2"/>
                <w:color w:val="auto"/>
              </w:rPr>
            </w:pPr>
          </w:p>
        </w:tc>
        <w:tc>
          <w:tcPr>
            <w:tcW w:w="660" w:type="dxa"/>
            <w:vAlign w:val="bottom"/>
            <w:tcBorders>
              <w:bottom w:val="single" w:sz="8" w:color="2D53A6"/>
              <w:right w:val="single" w:sz="8" w:color="2D53A6"/>
            </w:tcBorders>
          </w:tcPr>
          <w:p>
            <w:pPr>
              <w:spacing w:after="0"/>
              <w:rPr>
                <w:sz w:val="2"/>
                <w:szCs w:val="2"/>
                <w:color w:val="auto"/>
              </w:rPr>
            </w:pPr>
          </w:p>
        </w:tc>
        <w:tc>
          <w:tcPr>
            <w:tcW w:w="680" w:type="dxa"/>
            <w:vAlign w:val="bottom"/>
            <w:tcBorders>
              <w:bottom w:val="single" w:sz="8" w:color="2D53A6"/>
              <w:right w:val="single" w:sz="8" w:color="2D53A6"/>
            </w:tcBorders>
          </w:tcPr>
          <w:p>
            <w:pPr>
              <w:spacing w:after="0"/>
              <w:rPr>
                <w:sz w:val="2"/>
                <w:szCs w:val="2"/>
                <w:color w:val="auto"/>
              </w:rPr>
            </w:pPr>
          </w:p>
        </w:tc>
        <w:tc>
          <w:tcPr>
            <w:tcW w:w="680" w:type="dxa"/>
            <w:vAlign w:val="bottom"/>
            <w:tcBorders>
              <w:bottom w:val="single" w:sz="8" w:color="2D53A6"/>
              <w:right w:val="single" w:sz="8" w:color="2D53A6"/>
            </w:tcBorders>
          </w:tcPr>
          <w:p>
            <w:pPr>
              <w:spacing w:after="0"/>
              <w:rPr>
                <w:sz w:val="2"/>
                <w:szCs w:val="2"/>
                <w:color w:val="auto"/>
              </w:rPr>
            </w:pPr>
          </w:p>
        </w:tc>
        <w:tc>
          <w:tcPr>
            <w:tcW w:w="278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2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6"/>
                <w:szCs w:val="16"/>
                <w:color w:val="auto"/>
              </w:rPr>
              <w:t>Yon Y. Jorden</w:t>
            </w:r>
          </w:p>
        </w:tc>
        <w:tc>
          <w:tcPr>
            <w:tcW w:w="94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6"/>
                <w:szCs w:val="16"/>
                <w:color w:val="auto"/>
              </w:rPr>
              <w:t>70</w:t>
            </w:r>
          </w:p>
        </w:tc>
        <w:tc>
          <w:tcPr>
            <w:tcW w:w="960" w:type="dxa"/>
            <w:vAlign w:val="bottom"/>
            <w:tcBorders>
              <w:bottom w:val="single" w:sz="8" w:color="E6E6E6"/>
              <w:right w:val="single" w:sz="8" w:color="2D53A6"/>
            </w:tcBorders>
            <w:shd w:val="clear" w:color="auto" w:fill="E6E6E6"/>
          </w:tcPr>
          <w:p>
            <w:pPr>
              <w:jc w:val="right"/>
              <w:ind w:right="219"/>
              <w:spacing w:after="0"/>
              <w:rPr>
                <w:sz w:val="20"/>
                <w:szCs w:val="20"/>
                <w:color w:val="auto"/>
              </w:rPr>
            </w:pPr>
            <w:r>
              <w:rPr>
                <w:rFonts w:ascii="Arial" w:cs="Arial" w:eastAsia="Arial" w:hAnsi="Arial"/>
                <w:sz w:val="16"/>
                <w:szCs w:val="16"/>
                <w:color w:val="auto"/>
              </w:rPr>
              <w:t>2021</w:t>
            </w:r>
          </w:p>
        </w:tc>
        <w:tc>
          <w:tcPr>
            <w:tcW w:w="154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6"/>
                <w:szCs w:val="16"/>
                <w:color w:val="auto"/>
                <w:w w:val="94"/>
              </w:rPr>
              <w:t>Yes</w:t>
            </w:r>
          </w:p>
        </w:tc>
        <w:tc>
          <w:tcPr>
            <w:tcW w:w="118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6"/>
                <w:szCs w:val="16"/>
                <w:color w:val="auto"/>
              </w:rPr>
              <w:t>2 -- 2024</w:t>
            </w:r>
          </w:p>
        </w:tc>
        <w:tc>
          <w:tcPr>
            <w:tcW w:w="660" w:type="dxa"/>
            <w:vAlign w:val="bottom"/>
            <w:tcBorders>
              <w:bottom w:val="single" w:sz="8" w:color="E6E6E6"/>
              <w:right w:val="single" w:sz="8" w:color="2D53A6"/>
            </w:tcBorders>
            <w:shd w:val="clear" w:color="auto" w:fill="E6E6E6"/>
          </w:tcPr>
          <w:p>
            <w:pPr>
              <w:jc w:val="right"/>
              <w:ind w:right="139"/>
              <w:spacing w:after="0"/>
              <w:rPr>
                <w:sz w:val="20"/>
                <w:szCs w:val="20"/>
                <w:color w:val="auto"/>
              </w:rPr>
            </w:pPr>
            <w:r>
              <w:rPr>
                <w:rFonts w:ascii="Arial" w:cs="Arial" w:eastAsia="Arial" w:hAnsi="Arial"/>
                <w:sz w:val="16"/>
                <w:szCs w:val="16"/>
                <w:color w:val="auto"/>
              </w:rPr>
              <w:t>M+</w:t>
            </w:r>
          </w:p>
        </w:tc>
        <w:tc>
          <w:tcPr>
            <w:tcW w:w="680" w:type="dxa"/>
            <w:vAlign w:val="bottom"/>
            <w:tcBorders>
              <w:bottom w:val="single" w:sz="8" w:color="E6E6E6"/>
              <w:right w:val="single" w:sz="8" w:color="2D53A6"/>
            </w:tcBorders>
            <w:shd w:val="clear" w:color="auto" w:fill="E6E6E6"/>
          </w:tcPr>
          <w:p>
            <w:pPr>
              <w:spacing w:after="0"/>
              <w:rPr>
                <w:sz w:val="22"/>
                <w:szCs w:val="22"/>
                <w:color w:val="auto"/>
              </w:rPr>
            </w:pPr>
          </w:p>
        </w:tc>
        <w:tc>
          <w:tcPr>
            <w:tcW w:w="68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6"/>
                <w:szCs w:val="16"/>
                <w:color w:val="auto"/>
                <w:w w:val="89"/>
              </w:rPr>
              <w:t>M</w:t>
            </w:r>
          </w:p>
        </w:tc>
        <w:tc>
          <w:tcPr>
            <w:tcW w:w="278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6"/>
                <w:szCs w:val="16"/>
                <w:color w:val="auto"/>
              </w:rPr>
              <w:t>Alignment Healthcare, Inc.</w:t>
            </w:r>
          </w:p>
        </w:tc>
        <w:tc>
          <w:tcPr>
            <w:tcW w:w="0" w:type="dxa"/>
            <w:vAlign w:val="bottom"/>
          </w:tcPr>
          <w:p>
            <w:pPr>
              <w:spacing w:after="0"/>
              <w:rPr>
                <w:sz w:val="1"/>
                <w:szCs w:val="1"/>
                <w:color w:val="auto"/>
              </w:rPr>
            </w:pPr>
          </w:p>
        </w:tc>
      </w:tr>
      <w:tr>
        <w:trPr>
          <w:trHeight w:val="234"/>
        </w:trPr>
        <w:tc>
          <w:tcPr>
            <w:tcW w:w="182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6"/>
                <w:szCs w:val="16"/>
                <w:color w:val="auto"/>
              </w:rPr>
              <w:t>Luis A. Müller</w:t>
            </w:r>
          </w:p>
        </w:tc>
        <w:tc>
          <w:tcPr>
            <w:tcW w:w="94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6"/>
                <w:szCs w:val="16"/>
                <w:color w:val="auto"/>
              </w:rPr>
              <w:t>55</w:t>
            </w:r>
          </w:p>
        </w:tc>
        <w:tc>
          <w:tcPr>
            <w:tcW w:w="960" w:type="dxa"/>
            <w:vAlign w:val="bottom"/>
            <w:tcBorders>
              <w:top w:val="single" w:sz="8" w:color="2D53A6"/>
              <w:right w:val="single" w:sz="8" w:color="2D53A6"/>
            </w:tcBorders>
          </w:tcPr>
          <w:p>
            <w:pPr>
              <w:jc w:val="right"/>
              <w:ind w:right="219"/>
              <w:spacing w:after="0"/>
              <w:rPr>
                <w:sz w:val="20"/>
                <w:szCs w:val="20"/>
                <w:color w:val="auto"/>
              </w:rPr>
            </w:pPr>
            <w:r>
              <w:rPr>
                <w:rFonts w:ascii="Arial" w:cs="Arial" w:eastAsia="Arial" w:hAnsi="Arial"/>
                <w:sz w:val="16"/>
                <w:szCs w:val="16"/>
                <w:color w:val="auto"/>
              </w:rPr>
              <w:t>2014</w:t>
            </w:r>
          </w:p>
        </w:tc>
        <w:tc>
          <w:tcPr>
            <w:tcW w:w="154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6"/>
                <w:szCs w:val="16"/>
                <w:color w:val="auto"/>
                <w:w w:val="97"/>
              </w:rPr>
              <w:t>No</w:t>
            </w:r>
          </w:p>
        </w:tc>
        <w:tc>
          <w:tcPr>
            <w:tcW w:w="118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6"/>
                <w:szCs w:val="16"/>
                <w:color w:val="auto"/>
              </w:rPr>
              <w:t>2 -- 2024</w:t>
            </w:r>
          </w:p>
        </w:tc>
        <w:tc>
          <w:tcPr>
            <w:tcW w:w="660" w:type="dxa"/>
            <w:vAlign w:val="bottom"/>
            <w:tcBorders>
              <w:top w:val="single" w:sz="8" w:color="2D53A6"/>
              <w:right w:val="single" w:sz="8" w:color="2D53A6"/>
            </w:tcBorders>
          </w:tcPr>
          <w:p>
            <w:pPr>
              <w:spacing w:after="0"/>
              <w:rPr>
                <w:sz w:val="20"/>
                <w:szCs w:val="20"/>
                <w:color w:val="auto"/>
              </w:rPr>
            </w:pPr>
          </w:p>
        </w:tc>
        <w:tc>
          <w:tcPr>
            <w:tcW w:w="680" w:type="dxa"/>
            <w:vAlign w:val="bottom"/>
            <w:tcBorders>
              <w:top w:val="single" w:sz="8" w:color="2D53A6"/>
              <w:right w:val="single" w:sz="8" w:color="2D53A6"/>
            </w:tcBorders>
          </w:tcPr>
          <w:p>
            <w:pPr>
              <w:spacing w:after="0"/>
              <w:rPr>
                <w:sz w:val="20"/>
                <w:szCs w:val="20"/>
                <w:color w:val="auto"/>
              </w:rPr>
            </w:pPr>
          </w:p>
        </w:tc>
        <w:tc>
          <w:tcPr>
            <w:tcW w:w="680" w:type="dxa"/>
            <w:vAlign w:val="bottom"/>
            <w:tcBorders>
              <w:top w:val="single" w:sz="8" w:color="2D53A6"/>
              <w:right w:val="single" w:sz="8" w:color="2D53A6"/>
            </w:tcBorders>
          </w:tcPr>
          <w:p>
            <w:pPr>
              <w:spacing w:after="0"/>
              <w:rPr>
                <w:sz w:val="20"/>
                <w:szCs w:val="20"/>
                <w:color w:val="auto"/>
              </w:rPr>
            </w:pPr>
          </w:p>
        </w:tc>
        <w:tc>
          <w:tcPr>
            <w:tcW w:w="2780" w:type="dxa"/>
            <w:vAlign w:val="bottom"/>
            <w:tcBorders>
              <w:top w:val="single" w:sz="8" w:color="2D53A6"/>
            </w:tcBorders>
          </w:tcPr>
          <w:p>
            <w:pPr>
              <w:ind w:left="20"/>
              <w:spacing w:after="0"/>
              <w:rPr>
                <w:sz w:val="20"/>
                <w:szCs w:val="20"/>
                <w:color w:val="auto"/>
              </w:rPr>
            </w:pPr>
            <w:r>
              <w:rPr>
                <w:rFonts w:ascii="Arial" w:cs="Arial" w:eastAsia="Arial" w:hAnsi="Arial"/>
                <w:sz w:val="16"/>
                <w:szCs w:val="16"/>
                <w:color w:val="auto"/>
              </w:rPr>
              <w:t>Celestica Inc.</w:t>
            </w:r>
          </w:p>
        </w:tc>
        <w:tc>
          <w:tcPr>
            <w:tcW w:w="0" w:type="dxa"/>
            <w:vAlign w:val="bottom"/>
          </w:tcPr>
          <w:p>
            <w:pPr>
              <w:spacing w:after="0"/>
              <w:rPr>
                <w:sz w:val="1"/>
                <w:szCs w:val="1"/>
                <w:color w:val="auto"/>
              </w:rPr>
            </w:pPr>
          </w:p>
        </w:tc>
      </w:tr>
      <w:tr>
        <w:trPr>
          <w:trHeight w:val="29"/>
        </w:trPr>
        <w:tc>
          <w:tcPr>
            <w:tcW w:w="1820" w:type="dxa"/>
            <w:vAlign w:val="bottom"/>
            <w:tcBorders>
              <w:bottom w:val="single" w:sz="8" w:color="2D53A6"/>
              <w:right w:val="single" w:sz="8" w:color="2D53A6"/>
            </w:tcBorders>
          </w:tcPr>
          <w:p>
            <w:pPr>
              <w:spacing w:after="0"/>
              <w:rPr>
                <w:sz w:val="2"/>
                <w:szCs w:val="2"/>
                <w:color w:val="auto"/>
              </w:rPr>
            </w:pPr>
          </w:p>
        </w:tc>
        <w:tc>
          <w:tcPr>
            <w:tcW w:w="940" w:type="dxa"/>
            <w:vAlign w:val="bottom"/>
            <w:tcBorders>
              <w:bottom w:val="single" w:sz="8" w:color="2D53A6"/>
              <w:right w:val="single" w:sz="8" w:color="2D53A6"/>
            </w:tcBorders>
          </w:tcPr>
          <w:p>
            <w:pPr>
              <w:spacing w:after="0"/>
              <w:rPr>
                <w:sz w:val="2"/>
                <w:szCs w:val="2"/>
                <w:color w:val="auto"/>
              </w:rPr>
            </w:pPr>
          </w:p>
        </w:tc>
        <w:tc>
          <w:tcPr>
            <w:tcW w:w="960" w:type="dxa"/>
            <w:vAlign w:val="bottom"/>
            <w:tcBorders>
              <w:bottom w:val="single" w:sz="8" w:color="2D53A6"/>
              <w:right w:val="single" w:sz="8" w:color="2D53A6"/>
            </w:tcBorders>
          </w:tcPr>
          <w:p>
            <w:pPr>
              <w:spacing w:after="0"/>
              <w:rPr>
                <w:sz w:val="2"/>
                <w:szCs w:val="2"/>
                <w:color w:val="auto"/>
              </w:rPr>
            </w:pPr>
          </w:p>
        </w:tc>
        <w:tc>
          <w:tcPr>
            <w:tcW w:w="1540" w:type="dxa"/>
            <w:vAlign w:val="bottom"/>
            <w:tcBorders>
              <w:bottom w:val="single" w:sz="8" w:color="2D53A6"/>
              <w:right w:val="single" w:sz="8" w:color="2D53A6"/>
            </w:tcBorders>
          </w:tcPr>
          <w:p>
            <w:pPr>
              <w:spacing w:after="0"/>
              <w:rPr>
                <w:sz w:val="2"/>
                <w:szCs w:val="2"/>
                <w:color w:val="auto"/>
              </w:rPr>
            </w:pPr>
          </w:p>
        </w:tc>
        <w:tc>
          <w:tcPr>
            <w:tcW w:w="1180" w:type="dxa"/>
            <w:vAlign w:val="bottom"/>
            <w:tcBorders>
              <w:bottom w:val="single" w:sz="8" w:color="2D53A6"/>
              <w:right w:val="single" w:sz="8" w:color="2D53A6"/>
            </w:tcBorders>
          </w:tcPr>
          <w:p>
            <w:pPr>
              <w:spacing w:after="0"/>
              <w:rPr>
                <w:sz w:val="2"/>
                <w:szCs w:val="2"/>
                <w:color w:val="auto"/>
              </w:rPr>
            </w:pPr>
          </w:p>
        </w:tc>
        <w:tc>
          <w:tcPr>
            <w:tcW w:w="660" w:type="dxa"/>
            <w:vAlign w:val="bottom"/>
            <w:tcBorders>
              <w:bottom w:val="single" w:sz="8" w:color="2D53A6"/>
              <w:right w:val="single" w:sz="8" w:color="2D53A6"/>
            </w:tcBorders>
          </w:tcPr>
          <w:p>
            <w:pPr>
              <w:spacing w:after="0"/>
              <w:rPr>
                <w:sz w:val="2"/>
                <w:szCs w:val="2"/>
                <w:color w:val="auto"/>
              </w:rPr>
            </w:pPr>
          </w:p>
        </w:tc>
        <w:tc>
          <w:tcPr>
            <w:tcW w:w="680" w:type="dxa"/>
            <w:vAlign w:val="bottom"/>
            <w:tcBorders>
              <w:bottom w:val="single" w:sz="8" w:color="2D53A6"/>
              <w:right w:val="single" w:sz="8" w:color="2D53A6"/>
            </w:tcBorders>
          </w:tcPr>
          <w:p>
            <w:pPr>
              <w:spacing w:after="0"/>
              <w:rPr>
                <w:sz w:val="2"/>
                <w:szCs w:val="2"/>
                <w:color w:val="auto"/>
              </w:rPr>
            </w:pPr>
          </w:p>
        </w:tc>
        <w:tc>
          <w:tcPr>
            <w:tcW w:w="680" w:type="dxa"/>
            <w:vAlign w:val="bottom"/>
            <w:tcBorders>
              <w:bottom w:val="single" w:sz="8" w:color="2D53A6"/>
              <w:right w:val="single" w:sz="8" w:color="2D53A6"/>
            </w:tcBorders>
          </w:tcPr>
          <w:p>
            <w:pPr>
              <w:spacing w:after="0"/>
              <w:rPr>
                <w:sz w:val="2"/>
                <w:szCs w:val="2"/>
                <w:color w:val="auto"/>
              </w:rPr>
            </w:pPr>
          </w:p>
        </w:tc>
        <w:tc>
          <w:tcPr>
            <w:tcW w:w="278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20" w:type="dxa"/>
            <w:vAlign w:val="bottom"/>
            <w:tcBorders>
              <w:right w:val="single" w:sz="8" w:color="2D53A6"/>
            </w:tcBorders>
            <w:vMerge w:val="restart"/>
            <w:shd w:val="clear" w:color="auto" w:fill="E6E6E6"/>
          </w:tcPr>
          <w:p>
            <w:pPr>
              <w:ind w:left="40"/>
              <w:spacing w:after="0"/>
              <w:rPr>
                <w:sz w:val="20"/>
                <w:szCs w:val="20"/>
                <w:color w:val="auto"/>
              </w:rPr>
            </w:pPr>
            <w:r>
              <w:rPr>
                <w:rFonts w:ascii="Arial" w:cs="Arial" w:eastAsia="Arial" w:hAnsi="Arial"/>
                <w:sz w:val="16"/>
                <w:szCs w:val="16"/>
                <w:color w:val="auto"/>
              </w:rPr>
              <w:t>Karen M. Rapp</w:t>
            </w:r>
          </w:p>
        </w:tc>
        <w:tc>
          <w:tcPr>
            <w:tcW w:w="9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6"/>
                <w:szCs w:val="16"/>
                <w:color w:val="auto"/>
              </w:rPr>
              <w:t>57</w:t>
            </w:r>
          </w:p>
        </w:tc>
        <w:tc>
          <w:tcPr>
            <w:tcW w:w="960" w:type="dxa"/>
            <w:vAlign w:val="bottom"/>
            <w:tcBorders>
              <w:right w:val="single" w:sz="8" w:color="2D53A6"/>
            </w:tcBorders>
            <w:vMerge w:val="restart"/>
            <w:shd w:val="clear" w:color="auto" w:fill="E6E6E6"/>
          </w:tcPr>
          <w:p>
            <w:pPr>
              <w:jc w:val="right"/>
              <w:ind w:right="219"/>
              <w:spacing w:after="0"/>
              <w:rPr>
                <w:sz w:val="20"/>
                <w:szCs w:val="20"/>
                <w:color w:val="auto"/>
              </w:rPr>
            </w:pPr>
            <w:r>
              <w:rPr>
                <w:rFonts w:ascii="Arial" w:cs="Arial" w:eastAsia="Arial" w:hAnsi="Arial"/>
                <w:sz w:val="16"/>
                <w:szCs w:val="16"/>
                <w:color w:val="auto"/>
              </w:rPr>
              <w:t>2024</w:t>
            </w:r>
          </w:p>
        </w:tc>
        <w:tc>
          <w:tcPr>
            <w:tcW w:w="154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6"/>
                <w:szCs w:val="16"/>
                <w:color w:val="auto"/>
                <w:w w:val="94"/>
              </w:rPr>
              <w:t>Yes</w:t>
            </w:r>
          </w:p>
        </w:tc>
        <w:tc>
          <w:tcPr>
            <w:tcW w:w="118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6"/>
                <w:szCs w:val="16"/>
                <w:color w:val="auto"/>
              </w:rPr>
              <w:t>1 -- 2026</w:t>
            </w:r>
          </w:p>
        </w:tc>
        <w:tc>
          <w:tcPr>
            <w:tcW w:w="660" w:type="dxa"/>
            <w:vAlign w:val="bottom"/>
            <w:tcBorders>
              <w:right w:val="single" w:sz="8" w:color="2D53A6"/>
            </w:tcBorders>
            <w:vMerge w:val="restart"/>
            <w:shd w:val="clear" w:color="auto" w:fill="E6E6E6"/>
          </w:tcPr>
          <w:p>
            <w:pPr>
              <w:jc w:val="right"/>
              <w:ind w:right="139"/>
              <w:spacing w:after="0"/>
              <w:rPr>
                <w:sz w:val="20"/>
                <w:szCs w:val="20"/>
                <w:color w:val="auto"/>
              </w:rPr>
            </w:pPr>
            <w:r>
              <w:rPr>
                <w:rFonts w:ascii="Arial" w:cs="Arial" w:eastAsia="Arial" w:hAnsi="Arial"/>
                <w:sz w:val="16"/>
                <w:szCs w:val="16"/>
                <w:color w:val="auto"/>
              </w:rPr>
              <w:t>M+</w:t>
            </w:r>
          </w:p>
        </w:tc>
        <w:tc>
          <w:tcPr>
            <w:tcW w:w="680" w:type="dxa"/>
            <w:vAlign w:val="bottom"/>
            <w:tcBorders>
              <w:right w:val="single" w:sz="8" w:color="2D53A6"/>
            </w:tcBorders>
            <w:shd w:val="clear" w:color="auto" w:fill="E6E6E6"/>
          </w:tcPr>
          <w:p>
            <w:pPr>
              <w:spacing w:after="0"/>
              <w:rPr>
                <w:sz w:val="18"/>
                <w:szCs w:val="18"/>
                <w:color w:val="auto"/>
              </w:rPr>
            </w:pPr>
          </w:p>
        </w:tc>
        <w:tc>
          <w:tcPr>
            <w:tcW w:w="680" w:type="dxa"/>
            <w:vAlign w:val="bottom"/>
            <w:tcBorders>
              <w:right w:val="single" w:sz="8" w:color="2D53A6"/>
            </w:tcBorders>
            <w:shd w:val="clear" w:color="auto" w:fill="E6E6E6"/>
          </w:tcPr>
          <w:p>
            <w:pPr>
              <w:spacing w:after="0"/>
              <w:rPr>
                <w:sz w:val="18"/>
                <w:szCs w:val="18"/>
                <w:color w:val="auto"/>
              </w:rPr>
            </w:pPr>
          </w:p>
        </w:tc>
        <w:tc>
          <w:tcPr>
            <w:tcW w:w="2780" w:type="dxa"/>
            <w:vAlign w:val="bottom"/>
            <w:shd w:val="clear" w:color="auto" w:fill="E6E6E6"/>
          </w:tcPr>
          <w:p>
            <w:pPr>
              <w:ind w:left="20"/>
              <w:spacing w:after="0"/>
              <w:rPr>
                <w:sz w:val="20"/>
                <w:szCs w:val="20"/>
                <w:color w:val="auto"/>
              </w:rPr>
            </w:pPr>
            <w:r>
              <w:rPr>
                <w:rFonts w:ascii="Arial" w:cs="Arial" w:eastAsia="Arial" w:hAnsi="Arial"/>
                <w:sz w:val="16"/>
                <w:szCs w:val="16"/>
                <w:color w:val="auto"/>
              </w:rPr>
              <w:t>Microchip Technology Incorporated,</w:t>
            </w:r>
          </w:p>
        </w:tc>
        <w:tc>
          <w:tcPr>
            <w:tcW w:w="0" w:type="dxa"/>
            <w:vAlign w:val="bottom"/>
          </w:tcPr>
          <w:p>
            <w:pPr>
              <w:spacing w:after="0"/>
              <w:rPr>
                <w:sz w:val="1"/>
                <w:szCs w:val="1"/>
                <w:color w:val="auto"/>
              </w:rPr>
            </w:pPr>
          </w:p>
        </w:tc>
      </w:tr>
      <w:tr>
        <w:trPr>
          <w:trHeight w:val="120"/>
        </w:trPr>
        <w:tc>
          <w:tcPr>
            <w:tcW w:w="1820" w:type="dxa"/>
            <w:vAlign w:val="bottom"/>
            <w:tcBorders>
              <w:right w:val="single" w:sz="8" w:color="2D53A6"/>
            </w:tcBorders>
            <w:vMerge w:val="continue"/>
            <w:shd w:val="clear" w:color="auto" w:fill="E6E6E6"/>
          </w:tcPr>
          <w:p>
            <w:pPr>
              <w:spacing w:after="0"/>
              <w:rPr>
                <w:sz w:val="10"/>
                <w:szCs w:val="10"/>
                <w:color w:val="auto"/>
              </w:rPr>
            </w:pPr>
          </w:p>
        </w:tc>
        <w:tc>
          <w:tcPr>
            <w:tcW w:w="940" w:type="dxa"/>
            <w:vAlign w:val="bottom"/>
            <w:tcBorders>
              <w:right w:val="single" w:sz="8" w:color="2D53A6"/>
            </w:tcBorders>
            <w:vMerge w:val="continue"/>
            <w:shd w:val="clear" w:color="auto" w:fill="E6E6E6"/>
          </w:tcPr>
          <w:p>
            <w:pPr>
              <w:spacing w:after="0"/>
              <w:rPr>
                <w:sz w:val="10"/>
                <w:szCs w:val="10"/>
                <w:color w:val="auto"/>
              </w:rPr>
            </w:pPr>
          </w:p>
        </w:tc>
        <w:tc>
          <w:tcPr>
            <w:tcW w:w="960" w:type="dxa"/>
            <w:vAlign w:val="bottom"/>
            <w:tcBorders>
              <w:right w:val="single" w:sz="8" w:color="2D53A6"/>
            </w:tcBorders>
            <w:vMerge w:val="continue"/>
            <w:shd w:val="clear" w:color="auto" w:fill="E6E6E6"/>
          </w:tcPr>
          <w:p>
            <w:pPr>
              <w:spacing w:after="0"/>
              <w:rPr>
                <w:sz w:val="10"/>
                <w:szCs w:val="10"/>
                <w:color w:val="auto"/>
              </w:rPr>
            </w:pPr>
          </w:p>
        </w:tc>
        <w:tc>
          <w:tcPr>
            <w:tcW w:w="1540" w:type="dxa"/>
            <w:vAlign w:val="bottom"/>
            <w:tcBorders>
              <w:right w:val="single" w:sz="8" w:color="2D53A6"/>
            </w:tcBorders>
            <w:vMerge w:val="continue"/>
            <w:shd w:val="clear" w:color="auto" w:fill="E6E6E6"/>
          </w:tcPr>
          <w:p>
            <w:pPr>
              <w:spacing w:after="0"/>
              <w:rPr>
                <w:sz w:val="10"/>
                <w:szCs w:val="10"/>
                <w:color w:val="auto"/>
              </w:rPr>
            </w:pPr>
          </w:p>
        </w:tc>
        <w:tc>
          <w:tcPr>
            <w:tcW w:w="1180" w:type="dxa"/>
            <w:vAlign w:val="bottom"/>
            <w:tcBorders>
              <w:right w:val="single" w:sz="8" w:color="2D53A6"/>
            </w:tcBorders>
            <w:vMerge w:val="continue"/>
            <w:shd w:val="clear" w:color="auto" w:fill="E6E6E6"/>
          </w:tcPr>
          <w:p>
            <w:pPr>
              <w:spacing w:after="0"/>
              <w:rPr>
                <w:sz w:val="10"/>
                <w:szCs w:val="10"/>
                <w:color w:val="auto"/>
              </w:rPr>
            </w:pPr>
          </w:p>
        </w:tc>
        <w:tc>
          <w:tcPr>
            <w:tcW w:w="660" w:type="dxa"/>
            <w:vAlign w:val="bottom"/>
            <w:tcBorders>
              <w:right w:val="single" w:sz="8" w:color="2D53A6"/>
            </w:tcBorders>
            <w:vMerge w:val="continue"/>
            <w:shd w:val="clear" w:color="auto" w:fill="E6E6E6"/>
          </w:tcPr>
          <w:p>
            <w:pPr>
              <w:spacing w:after="0"/>
              <w:rPr>
                <w:sz w:val="10"/>
                <w:szCs w:val="10"/>
                <w:color w:val="auto"/>
              </w:rPr>
            </w:pPr>
          </w:p>
        </w:tc>
        <w:tc>
          <w:tcPr>
            <w:tcW w:w="680" w:type="dxa"/>
            <w:vAlign w:val="bottom"/>
            <w:tcBorders>
              <w:right w:val="single" w:sz="8" w:color="2D53A6"/>
            </w:tcBorders>
            <w:shd w:val="clear" w:color="auto" w:fill="E6E6E6"/>
          </w:tcPr>
          <w:p>
            <w:pPr>
              <w:spacing w:after="0"/>
              <w:rPr>
                <w:sz w:val="10"/>
                <w:szCs w:val="10"/>
                <w:color w:val="auto"/>
              </w:rPr>
            </w:pPr>
          </w:p>
        </w:tc>
        <w:tc>
          <w:tcPr>
            <w:tcW w:w="680" w:type="dxa"/>
            <w:vAlign w:val="bottom"/>
            <w:tcBorders>
              <w:right w:val="single" w:sz="8" w:color="2D53A6"/>
            </w:tcBorders>
            <w:shd w:val="clear" w:color="auto" w:fill="E6E6E6"/>
          </w:tcPr>
          <w:p>
            <w:pPr>
              <w:spacing w:after="0"/>
              <w:rPr>
                <w:sz w:val="10"/>
                <w:szCs w:val="10"/>
                <w:color w:val="auto"/>
              </w:rPr>
            </w:pPr>
          </w:p>
        </w:tc>
        <w:tc>
          <w:tcPr>
            <w:tcW w:w="2780" w:type="dxa"/>
            <w:vAlign w:val="bottom"/>
            <w:vMerge w:val="restart"/>
            <w:shd w:val="clear" w:color="auto" w:fill="E6E6E6"/>
          </w:tcPr>
          <w:p>
            <w:pPr>
              <w:ind w:left="20"/>
              <w:spacing w:after="0"/>
              <w:rPr>
                <w:sz w:val="20"/>
                <w:szCs w:val="20"/>
                <w:color w:val="auto"/>
              </w:rPr>
            </w:pPr>
            <w:r>
              <w:rPr>
                <w:rFonts w:ascii="Arial" w:cs="Arial" w:eastAsia="Arial" w:hAnsi="Arial"/>
                <w:sz w:val="16"/>
                <w:szCs w:val="16"/>
                <w:color w:val="auto"/>
              </w:rPr>
              <w:t>Plexus Corp.</w:t>
            </w:r>
          </w:p>
        </w:tc>
        <w:tc>
          <w:tcPr>
            <w:tcW w:w="0" w:type="dxa"/>
            <w:vAlign w:val="bottom"/>
          </w:tcPr>
          <w:p>
            <w:pPr>
              <w:spacing w:after="0"/>
              <w:rPr>
                <w:sz w:val="1"/>
                <w:szCs w:val="1"/>
                <w:color w:val="auto"/>
              </w:rPr>
            </w:pPr>
          </w:p>
        </w:tc>
      </w:tr>
      <w:tr>
        <w:trPr>
          <w:trHeight w:val="124"/>
        </w:trPr>
        <w:tc>
          <w:tcPr>
            <w:tcW w:w="1820" w:type="dxa"/>
            <w:vAlign w:val="bottom"/>
            <w:tcBorders>
              <w:bottom w:val="single" w:sz="8" w:color="E6E6E6"/>
              <w:right w:val="single" w:sz="8" w:color="2D53A6"/>
            </w:tcBorders>
            <w:shd w:val="clear" w:color="auto" w:fill="E6E6E6"/>
          </w:tcPr>
          <w:p>
            <w:pPr>
              <w:spacing w:after="0"/>
              <w:rPr>
                <w:sz w:val="10"/>
                <w:szCs w:val="10"/>
                <w:color w:val="auto"/>
              </w:rPr>
            </w:pPr>
          </w:p>
        </w:tc>
        <w:tc>
          <w:tcPr>
            <w:tcW w:w="940" w:type="dxa"/>
            <w:vAlign w:val="bottom"/>
            <w:tcBorders>
              <w:bottom w:val="single" w:sz="8" w:color="E6E6E6"/>
              <w:right w:val="single" w:sz="8" w:color="2D53A6"/>
            </w:tcBorders>
            <w:shd w:val="clear" w:color="auto" w:fill="E6E6E6"/>
          </w:tcPr>
          <w:p>
            <w:pPr>
              <w:spacing w:after="0"/>
              <w:rPr>
                <w:sz w:val="10"/>
                <w:szCs w:val="10"/>
                <w:color w:val="auto"/>
              </w:rPr>
            </w:pPr>
          </w:p>
        </w:tc>
        <w:tc>
          <w:tcPr>
            <w:tcW w:w="960" w:type="dxa"/>
            <w:vAlign w:val="bottom"/>
            <w:tcBorders>
              <w:bottom w:val="single" w:sz="8" w:color="E6E6E6"/>
              <w:right w:val="single" w:sz="8" w:color="2D53A6"/>
            </w:tcBorders>
            <w:shd w:val="clear" w:color="auto" w:fill="E6E6E6"/>
          </w:tcPr>
          <w:p>
            <w:pPr>
              <w:spacing w:after="0"/>
              <w:rPr>
                <w:sz w:val="10"/>
                <w:szCs w:val="10"/>
                <w:color w:val="auto"/>
              </w:rPr>
            </w:pPr>
          </w:p>
        </w:tc>
        <w:tc>
          <w:tcPr>
            <w:tcW w:w="1540" w:type="dxa"/>
            <w:vAlign w:val="bottom"/>
            <w:tcBorders>
              <w:bottom w:val="single" w:sz="8" w:color="E6E6E6"/>
              <w:right w:val="single" w:sz="8" w:color="2D53A6"/>
            </w:tcBorders>
            <w:shd w:val="clear" w:color="auto" w:fill="E6E6E6"/>
          </w:tcPr>
          <w:p>
            <w:pPr>
              <w:spacing w:after="0"/>
              <w:rPr>
                <w:sz w:val="10"/>
                <w:szCs w:val="10"/>
                <w:color w:val="auto"/>
              </w:rPr>
            </w:pPr>
          </w:p>
        </w:tc>
        <w:tc>
          <w:tcPr>
            <w:tcW w:w="1180" w:type="dxa"/>
            <w:vAlign w:val="bottom"/>
            <w:tcBorders>
              <w:bottom w:val="single" w:sz="8" w:color="E6E6E6"/>
              <w:right w:val="single" w:sz="8" w:color="2D53A6"/>
            </w:tcBorders>
            <w:shd w:val="clear" w:color="auto" w:fill="E6E6E6"/>
          </w:tcPr>
          <w:p>
            <w:pPr>
              <w:spacing w:after="0"/>
              <w:rPr>
                <w:sz w:val="10"/>
                <w:szCs w:val="10"/>
                <w:color w:val="auto"/>
              </w:rPr>
            </w:pPr>
          </w:p>
        </w:tc>
        <w:tc>
          <w:tcPr>
            <w:tcW w:w="660" w:type="dxa"/>
            <w:vAlign w:val="bottom"/>
            <w:tcBorders>
              <w:bottom w:val="single" w:sz="8" w:color="E6E6E6"/>
              <w:right w:val="single" w:sz="8" w:color="2D53A6"/>
            </w:tcBorders>
            <w:shd w:val="clear" w:color="auto" w:fill="E6E6E6"/>
          </w:tcPr>
          <w:p>
            <w:pPr>
              <w:spacing w:after="0"/>
              <w:rPr>
                <w:sz w:val="10"/>
                <w:szCs w:val="10"/>
                <w:color w:val="auto"/>
              </w:rPr>
            </w:pPr>
          </w:p>
        </w:tc>
        <w:tc>
          <w:tcPr>
            <w:tcW w:w="680" w:type="dxa"/>
            <w:vAlign w:val="bottom"/>
            <w:tcBorders>
              <w:bottom w:val="single" w:sz="8" w:color="E6E6E6"/>
              <w:right w:val="single" w:sz="8" w:color="2D53A6"/>
            </w:tcBorders>
            <w:shd w:val="clear" w:color="auto" w:fill="E6E6E6"/>
          </w:tcPr>
          <w:p>
            <w:pPr>
              <w:spacing w:after="0"/>
              <w:rPr>
                <w:sz w:val="10"/>
                <w:szCs w:val="10"/>
                <w:color w:val="auto"/>
              </w:rPr>
            </w:pPr>
          </w:p>
        </w:tc>
        <w:tc>
          <w:tcPr>
            <w:tcW w:w="680" w:type="dxa"/>
            <w:vAlign w:val="bottom"/>
            <w:tcBorders>
              <w:bottom w:val="single" w:sz="8" w:color="E6E6E6"/>
              <w:right w:val="single" w:sz="8" w:color="2D53A6"/>
            </w:tcBorders>
            <w:shd w:val="clear" w:color="auto" w:fill="E6E6E6"/>
          </w:tcPr>
          <w:p>
            <w:pPr>
              <w:spacing w:after="0"/>
              <w:rPr>
                <w:sz w:val="10"/>
                <w:szCs w:val="10"/>
                <w:color w:val="auto"/>
              </w:rPr>
            </w:pPr>
          </w:p>
        </w:tc>
        <w:tc>
          <w:tcPr>
            <w:tcW w:w="2780" w:type="dxa"/>
            <w:vAlign w:val="bottom"/>
            <w:tcBorders>
              <w:bottom w:val="single" w:sz="8" w:color="E6E6E6"/>
            </w:tcBorders>
            <w:vMerge w:val="continue"/>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820" w:type="dxa"/>
            <w:vAlign w:val="bottom"/>
            <w:tcBorders>
              <w:top w:val="single" w:sz="8" w:color="2D53A6"/>
              <w:right w:val="single" w:sz="8" w:color="2D53A6"/>
            </w:tcBorders>
            <w:vMerge w:val="restart"/>
          </w:tcPr>
          <w:p>
            <w:pPr>
              <w:ind w:left="40"/>
              <w:spacing w:after="0"/>
              <w:rPr>
                <w:sz w:val="20"/>
                <w:szCs w:val="20"/>
                <w:color w:val="auto"/>
              </w:rPr>
            </w:pPr>
            <w:r>
              <w:rPr>
                <w:rFonts w:ascii="Arial" w:cs="Arial" w:eastAsia="Arial" w:hAnsi="Arial"/>
                <w:sz w:val="16"/>
                <w:szCs w:val="16"/>
                <w:color w:val="auto"/>
              </w:rPr>
              <w:t>Nina L. Richardson</w:t>
            </w:r>
          </w:p>
        </w:tc>
        <w:tc>
          <w:tcPr>
            <w:tcW w:w="940" w:type="dxa"/>
            <w:vAlign w:val="bottom"/>
            <w:tcBorders>
              <w:top w:val="single" w:sz="8" w:color="2D53A6"/>
              <w:right w:val="single" w:sz="8" w:color="2D53A6"/>
            </w:tcBorders>
            <w:vMerge w:val="restart"/>
          </w:tcPr>
          <w:p>
            <w:pPr>
              <w:jc w:val="center"/>
              <w:spacing w:after="0"/>
              <w:rPr>
                <w:sz w:val="20"/>
                <w:szCs w:val="20"/>
                <w:color w:val="auto"/>
              </w:rPr>
            </w:pPr>
            <w:r>
              <w:rPr>
                <w:rFonts w:ascii="Arial" w:cs="Arial" w:eastAsia="Arial" w:hAnsi="Arial"/>
                <w:sz w:val="16"/>
                <w:szCs w:val="16"/>
                <w:color w:val="auto"/>
              </w:rPr>
              <w:t>66</w:t>
            </w:r>
          </w:p>
        </w:tc>
        <w:tc>
          <w:tcPr>
            <w:tcW w:w="960" w:type="dxa"/>
            <w:vAlign w:val="bottom"/>
            <w:tcBorders>
              <w:top w:val="single" w:sz="8" w:color="2D53A6"/>
              <w:right w:val="single" w:sz="8" w:color="2D53A6"/>
            </w:tcBorders>
            <w:vMerge w:val="restart"/>
          </w:tcPr>
          <w:p>
            <w:pPr>
              <w:jc w:val="right"/>
              <w:ind w:right="219"/>
              <w:spacing w:after="0"/>
              <w:rPr>
                <w:sz w:val="20"/>
                <w:szCs w:val="20"/>
                <w:color w:val="auto"/>
              </w:rPr>
            </w:pPr>
            <w:r>
              <w:rPr>
                <w:rFonts w:ascii="Arial" w:cs="Arial" w:eastAsia="Arial" w:hAnsi="Arial"/>
                <w:sz w:val="16"/>
                <w:szCs w:val="16"/>
                <w:color w:val="auto"/>
              </w:rPr>
              <w:t>2019</w:t>
            </w:r>
          </w:p>
        </w:tc>
        <w:tc>
          <w:tcPr>
            <w:tcW w:w="1540" w:type="dxa"/>
            <w:vAlign w:val="bottom"/>
            <w:tcBorders>
              <w:top w:val="single" w:sz="8" w:color="2D53A6"/>
              <w:right w:val="single" w:sz="8" w:color="2D53A6"/>
            </w:tcBorders>
            <w:vMerge w:val="restart"/>
          </w:tcPr>
          <w:p>
            <w:pPr>
              <w:jc w:val="center"/>
              <w:spacing w:after="0"/>
              <w:rPr>
                <w:sz w:val="20"/>
                <w:szCs w:val="20"/>
                <w:color w:val="auto"/>
              </w:rPr>
            </w:pPr>
            <w:r>
              <w:rPr>
                <w:rFonts w:ascii="Arial" w:cs="Arial" w:eastAsia="Arial" w:hAnsi="Arial"/>
                <w:sz w:val="16"/>
                <w:szCs w:val="16"/>
                <w:color w:val="auto"/>
                <w:w w:val="94"/>
              </w:rPr>
              <w:t>Yes</w:t>
            </w:r>
          </w:p>
        </w:tc>
        <w:tc>
          <w:tcPr>
            <w:tcW w:w="1180" w:type="dxa"/>
            <w:vAlign w:val="bottom"/>
            <w:tcBorders>
              <w:top w:val="single" w:sz="8" w:color="2D53A6"/>
              <w:right w:val="single" w:sz="8" w:color="2D53A6"/>
            </w:tcBorders>
            <w:vMerge w:val="restart"/>
          </w:tcPr>
          <w:p>
            <w:pPr>
              <w:jc w:val="center"/>
              <w:spacing w:after="0"/>
              <w:rPr>
                <w:sz w:val="20"/>
                <w:szCs w:val="20"/>
                <w:color w:val="auto"/>
              </w:rPr>
            </w:pPr>
            <w:r>
              <w:rPr>
                <w:rFonts w:ascii="Arial" w:cs="Arial" w:eastAsia="Arial" w:hAnsi="Arial"/>
                <w:sz w:val="16"/>
                <w:szCs w:val="16"/>
                <w:color w:val="auto"/>
              </w:rPr>
              <w:t>1 -- 2026</w:t>
            </w:r>
          </w:p>
        </w:tc>
        <w:tc>
          <w:tcPr>
            <w:tcW w:w="660" w:type="dxa"/>
            <w:vAlign w:val="bottom"/>
            <w:tcBorders>
              <w:top w:val="single" w:sz="8" w:color="2D53A6"/>
              <w:right w:val="single" w:sz="8" w:color="2D53A6"/>
            </w:tcBorders>
          </w:tcPr>
          <w:p>
            <w:pPr>
              <w:spacing w:after="0"/>
              <w:rPr>
                <w:sz w:val="18"/>
                <w:szCs w:val="18"/>
                <w:color w:val="auto"/>
              </w:rPr>
            </w:pPr>
          </w:p>
        </w:tc>
        <w:tc>
          <w:tcPr>
            <w:tcW w:w="680" w:type="dxa"/>
            <w:vAlign w:val="bottom"/>
            <w:tcBorders>
              <w:top w:val="single" w:sz="8" w:color="2D53A6"/>
              <w:right w:val="single" w:sz="8" w:color="2D53A6"/>
            </w:tcBorders>
            <w:vMerge w:val="restart"/>
          </w:tcPr>
          <w:p>
            <w:pPr>
              <w:jc w:val="center"/>
              <w:spacing w:after="0"/>
              <w:rPr>
                <w:sz w:val="20"/>
                <w:szCs w:val="20"/>
                <w:color w:val="auto"/>
              </w:rPr>
            </w:pPr>
            <w:r>
              <w:rPr>
                <w:rFonts w:ascii="Arial" w:cs="Arial" w:eastAsia="Arial" w:hAnsi="Arial"/>
                <w:sz w:val="16"/>
                <w:szCs w:val="16"/>
                <w:color w:val="auto"/>
              </w:rPr>
              <w:t>M</w:t>
            </w:r>
          </w:p>
        </w:tc>
        <w:tc>
          <w:tcPr>
            <w:tcW w:w="680" w:type="dxa"/>
            <w:vAlign w:val="bottom"/>
            <w:tcBorders>
              <w:top w:val="single" w:sz="8" w:color="2D53A6"/>
              <w:right w:val="single" w:sz="8" w:color="2D53A6"/>
            </w:tcBorders>
          </w:tcPr>
          <w:p>
            <w:pPr>
              <w:spacing w:after="0"/>
              <w:rPr>
                <w:sz w:val="18"/>
                <w:szCs w:val="18"/>
                <w:color w:val="auto"/>
              </w:rPr>
            </w:pPr>
          </w:p>
        </w:tc>
        <w:tc>
          <w:tcPr>
            <w:tcW w:w="2780" w:type="dxa"/>
            <w:vAlign w:val="bottom"/>
            <w:tcBorders>
              <w:top w:val="single" w:sz="8" w:color="2D53A6"/>
            </w:tcBorders>
          </w:tcPr>
          <w:p>
            <w:pPr>
              <w:ind w:left="20"/>
              <w:spacing w:after="0"/>
              <w:rPr>
                <w:sz w:val="20"/>
                <w:szCs w:val="20"/>
                <w:color w:val="auto"/>
              </w:rPr>
            </w:pPr>
            <w:r>
              <w:rPr>
                <w:rFonts w:ascii="Arial" w:cs="Arial" w:eastAsia="Arial" w:hAnsi="Arial"/>
                <w:sz w:val="16"/>
                <w:szCs w:val="16"/>
                <w:color w:val="auto"/>
              </w:rPr>
              <w:t>Resideo Technologies, Inc., Silicon</w:t>
            </w:r>
          </w:p>
        </w:tc>
        <w:tc>
          <w:tcPr>
            <w:tcW w:w="0" w:type="dxa"/>
            <w:vAlign w:val="bottom"/>
          </w:tcPr>
          <w:p>
            <w:pPr>
              <w:spacing w:after="0"/>
              <w:rPr>
                <w:sz w:val="1"/>
                <w:szCs w:val="1"/>
                <w:color w:val="auto"/>
              </w:rPr>
            </w:pPr>
          </w:p>
        </w:tc>
      </w:tr>
      <w:tr>
        <w:trPr>
          <w:trHeight w:val="120"/>
        </w:trPr>
        <w:tc>
          <w:tcPr>
            <w:tcW w:w="1820" w:type="dxa"/>
            <w:vAlign w:val="bottom"/>
            <w:tcBorders>
              <w:right w:val="single" w:sz="8" w:color="2D53A6"/>
            </w:tcBorders>
            <w:vMerge w:val="continue"/>
          </w:tcPr>
          <w:p>
            <w:pPr>
              <w:spacing w:after="0"/>
              <w:rPr>
                <w:sz w:val="10"/>
                <w:szCs w:val="10"/>
                <w:color w:val="auto"/>
              </w:rPr>
            </w:pPr>
          </w:p>
        </w:tc>
        <w:tc>
          <w:tcPr>
            <w:tcW w:w="940" w:type="dxa"/>
            <w:vAlign w:val="bottom"/>
            <w:tcBorders>
              <w:right w:val="single" w:sz="8" w:color="2D53A6"/>
            </w:tcBorders>
            <w:vMerge w:val="continue"/>
          </w:tcPr>
          <w:p>
            <w:pPr>
              <w:spacing w:after="0"/>
              <w:rPr>
                <w:sz w:val="10"/>
                <w:szCs w:val="10"/>
                <w:color w:val="auto"/>
              </w:rPr>
            </w:pPr>
          </w:p>
        </w:tc>
        <w:tc>
          <w:tcPr>
            <w:tcW w:w="960" w:type="dxa"/>
            <w:vAlign w:val="bottom"/>
            <w:tcBorders>
              <w:right w:val="single" w:sz="8" w:color="2D53A6"/>
            </w:tcBorders>
            <w:vMerge w:val="continue"/>
          </w:tcPr>
          <w:p>
            <w:pPr>
              <w:spacing w:after="0"/>
              <w:rPr>
                <w:sz w:val="10"/>
                <w:szCs w:val="10"/>
                <w:color w:val="auto"/>
              </w:rPr>
            </w:pPr>
          </w:p>
        </w:tc>
        <w:tc>
          <w:tcPr>
            <w:tcW w:w="1540" w:type="dxa"/>
            <w:vAlign w:val="bottom"/>
            <w:tcBorders>
              <w:right w:val="single" w:sz="8" w:color="2D53A6"/>
            </w:tcBorders>
            <w:vMerge w:val="continue"/>
          </w:tcPr>
          <w:p>
            <w:pPr>
              <w:spacing w:after="0"/>
              <w:rPr>
                <w:sz w:val="10"/>
                <w:szCs w:val="10"/>
                <w:color w:val="auto"/>
              </w:rPr>
            </w:pPr>
          </w:p>
        </w:tc>
        <w:tc>
          <w:tcPr>
            <w:tcW w:w="1180" w:type="dxa"/>
            <w:vAlign w:val="bottom"/>
            <w:tcBorders>
              <w:right w:val="single" w:sz="8" w:color="2D53A6"/>
            </w:tcBorders>
            <w:vMerge w:val="continue"/>
          </w:tcPr>
          <w:p>
            <w:pPr>
              <w:spacing w:after="0"/>
              <w:rPr>
                <w:sz w:val="10"/>
                <w:szCs w:val="10"/>
                <w:color w:val="auto"/>
              </w:rPr>
            </w:pPr>
          </w:p>
        </w:tc>
        <w:tc>
          <w:tcPr>
            <w:tcW w:w="660" w:type="dxa"/>
            <w:vAlign w:val="bottom"/>
            <w:tcBorders>
              <w:right w:val="single" w:sz="8" w:color="2D53A6"/>
            </w:tcBorders>
          </w:tcPr>
          <w:p>
            <w:pPr>
              <w:spacing w:after="0"/>
              <w:rPr>
                <w:sz w:val="10"/>
                <w:szCs w:val="10"/>
                <w:color w:val="auto"/>
              </w:rPr>
            </w:pPr>
          </w:p>
        </w:tc>
        <w:tc>
          <w:tcPr>
            <w:tcW w:w="680" w:type="dxa"/>
            <w:vAlign w:val="bottom"/>
            <w:tcBorders>
              <w:right w:val="single" w:sz="8" w:color="2D53A6"/>
            </w:tcBorders>
            <w:vMerge w:val="continue"/>
          </w:tcPr>
          <w:p>
            <w:pPr>
              <w:spacing w:after="0"/>
              <w:rPr>
                <w:sz w:val="10"/>
                <w:szCs w:val="10"/>
                <w:color w:val="auto"/>
              </w:rPr>
            </w:pPr>
          </w:p>
        </w:tc>
        <w:tc>
          <w:tcPr>
            <w:tcW w:w="680" w:type="dxa"/>
            <w:vAlign w:val="bottom"/>
            <w:tcBorders>
              <w:right w:val="single" w:sz="8" w:color="2D53A6"/>
            </w:tcBorders>
          </w:tcPr>
          <w:p>
            <w:pPr>
              <w:spacing w:after="0"/>
              <w:rPr>
                <w:sz w:val="10"/>
                <w:szCs w:val="10"/>
                <w:color w:val="auto"/>
              </w:rPr>
            </w:pPr>
          </w:p>
        </w:tc>
        <w:tc>
          <w:tcPr>
            <w:tcW w:w="2780" w:type="dxa"/>
            <w:vAlign w:val="bottom"/>
            <w:vMerge w:val="restart"/>
          </w:tcPr>
          <w:p>
            <w:pPr>
              <w:ind w:left="20"/>
              <w:spacing w:after="0"/>
              <w:rPr>
                <w:sz w:val="20"/>
                <w:szCs w:val="20"/>
                <w:color w:val="auto"/>
              </w:rPr>
            </w:pPr>
            <w:r>
              <w:rPr>
                <w:rFonts w:ascii="Arial" w:cs="Arial" w:eastAsia="Arial" w:hAnsi="Arial"/>
                <w:sz w:val="16"/>
                <w:szCs w:val="16"/>
                <w:color w:val="auto"/>
              </w:rPr>
              <w:t>Laboratories Inc.</w:t>
            </w:r>
          </w:p>
        </w:tc>
        <w:tc>
          <w:tcPr>
            <w:tcW w:w="0" w:type="dxa"/>
            <w:vAlign w:val="bottom"/>
          </w:tcPr>
          <w:p>
            <w:pPr>
              <w:spacing w:after="0"/>
              <w:rPr>
                <w:sz w:val="1"/>
                <w:szCs w:val="1"/>
                <w:color w:val="auto"/>
              </w:rPr>
            </w:pPr>
          </w:p>
        </w:tc>
      </w:tr>
      <w:tr>
        <w:trPr>
          <w:trHeight w:val="94"/>
        </w:trPr>
        <w:tc>
          <w:tcPr>
            <w:tcW w:w="1820" w:type="dxa"/>
            <w:vAlign w:val="bottom"/>
            <w:tcBorders>
              <w:right w:val="single" w:sz="8" w:color="2D53A6"/>
            </w:tcBorders>
          </w:tcPr>
          <w:p>
            <w:pPr>
              <w:spacing w:after="0"/>
              <w:rPr>
                <w:sz w:val="8"/>
                <w:szCs w:val="8"/>
                <w:color w:val="auto"/>
              </w:rPr>
            </w:pPr>
          </w:p>
        </w:tc>
        <w:tc>
          <w:tcPr>
            <w:tcW w:w="940" w:type="dxa"/>
            <w:vAlign w:val="bottom"/>
            <w:tcBorders>
              <w:right w:val="single" w:sz="8" w:color="2D53A6"/>
            </w:tcBorders>
          </w:tcPr>
          <w:p>
            <w:pPr>
              <w:spacing w:after="0"/>
              <w:rPr>
                <w:sz w:val="8"/>
                <w:szCs w:val="8"/>
                <w:color w:val="auto"/>
              </w:rPr>
            </w:pPr>
          </w:p>
        </w:tc>
        <w:tc>
          <w:tcPr>
            <w:tcW w:w="960" w:type="dxa"/>
            <w:vAlign w:val="bottom"/>
            <w:tcBorders>
              <w:right w:val="single" w:sz="8" w:color="2D53A6"/>
            </w:tcBorders>
          </w:tcPr>
          <w:p>
            <w:pPr>
              <w:spacing w:after="0"/>
              <w:rPr>
                <w:sz w:val="8"/>
                <w:szCs w:val="8"/>
                <w:color w:val="auto"/>
              </w:rPr>
            </w:pPr>
          </w:p>
        </w:tc>
        <w:tc>
          <w:tcPr>
            <w:tcW w:w="1540" w:type="dxa"/>
            <w:vAlign w:val="bottom"/>
            <w:tcBorders>
              <w:right w:val="single" w:sz="8" w:color="2D53A6"/>
            </w:tcBorders>
          </w:tcPr>
          <w:p>
            <w:pPr>
              <w:spacing w:after="0"/>
              <w:rPr>
                <w:sz w:val="8"/>
                <w:szCs w:val="8"/>
                <w:color w:val="auto"/>
              </w:rPr>
            </w:pPr>
          </w:p>
        </w:tc>
        <w:tc>
          <w:tcPr>
            <w:tcW w:w="1180" w:type="dxa"/>
            <w:vAlign w:val="bottom"/>
            <w:tcBorders>
              <w:right w:val="single" w:sz="8" w:color="2D53A6"/>
            </w:tcBorders>
          </w:tcPr>
          <w:p>
            <w:pPr>
              <w:spacing w:after="0"/>
              <w:rPr>
                <w:sz w:val="8"/>
                <w:szCs w:val="8"/>
                <w:color w:val="auto"/>
              </w:rPr>
            </w:pPr>
          </w:p>
        </w:tc>
        <w:tc>
          <w:tcPr>
            <w:tcW w:w="660" w:type="dxa"/>
            <w:vAlign w:val="bottom"/>
            <w:tcBorders>
              <w:right w:val="single" w:sz="8" w:color="2D53A6"/>
            </w:tcBorders>
          </w:tcPr>
          <w:p>
            <w:pPr>
              <w:spacing w:after="0"/>
              <w:rPr>
                <w:sz w:val="8"/>
                <w:szCs w:val="8"/>
                <w:color w:val="auto"/>
              </w:rPr>
            </w:pPr>
          </w:p>
        </w:tc>
        <w:tc>
          <w:tcPr>
            <w:tcW w:w="680" w:type="dxa"/>
            <w:vAlign w:val="bottom"/>
            <w:tcBorders>
              <w:right w:val="single" w:sz="8" w:color="2D53A6"/>
            </w:tcBorders>
          </w:tcPr>
          <w:p>
            <w:pPr>
              <w:spacing w:after="0"/>
              <w:rPr>
                <w:sz w:val="8"/>
                <w:szCs w:val="8"/>
                <w:color w:val="auto"/>
              </w:rPr>
            </w:pPr>
          </w:p>
        </w:tc>
        <w:tc>
          <w:tcPr>
            <w:tcW w:w="680" w:type="dxa"/>
            <w:vAlign w:val="bottom"/>
            <w:tcBorders>
              <w:right w:val="single" w:sz="8" w:color="2D53A6"/>
            </w:tcBorders>
          </w:tcPr>
          <w:p>
            <w:pPr>
              <w:spacing w:after="0"/>
              <w:rPr>
                <w:sz w:val="8"/>
                <w:szCs w:val="8"/>
                <w:color w:val="auto"/>
              </w:rPr>
            </w:pPr>
          </w:p>
        </w:tc>
        <w:tc>
          <w:tcPr>
            <w:tcW w:w="2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820" w:type="dxa"/>
            <w:vAlign w:val="bottom"/>
            <w:tcBorders>
              <w:bottom w:val="single" w:sz="8" w:color="2D53A6"/>
              <w:right w:val="single" w:sz="8" w:color="2D53A6"/>
            </w:tcBorders>
          </w:tcPr>
          <w:p>
            <w:pPr>
              <w:spacing w:after="0"/>
              <w:rPr>
                <w:sz w:val="2"/>
                <w:szCs w:val="2"/>
                <w:color w:val="auto"/>
              </w:rPr>
            </w:pPr>
          </w:p>
        </w:tc>
        <w:tc>
          <w:tcPr>
            <w:tcW w:w="940" w:type="dxa"/>
            <w:vAlign w:val="bottom"/>
            <w:tcBorders>
              <w:bottom w:val="single" w:sz="8" w:color="2D53A6"/>
              <w:right w:val="single" w:sz="8" w:color="2D53A6"/>
            </w:tcBorders>
          </w:tcPr>
          <w:p>
            <w:pPr>
              <w:spacing w:after="0"/>
              <w:rPr>
                <w:sz w:val="2"/>
                <w:szCs w:val="2"/>
                <w:color w:val="auto"/>
              </w:rPr>
            </w:pPr>
          </w:p>
        </w:tc>
        <w:tc>
          <w:tcPr>
            <w:tcW w:w="960" w:type="dxa"/>
            <w:vAlign w:val="bottom"/>
            <w:tcBorders>
              <w:bottom w:val="single" w:sz="8" w:color="2D53A6"/>
              <w:right w:val="single" w:sz="8" w:color="2D53A6"/>
            </w:tcBorders>
          </w:tcPr>
          <w:p>
            <w:pPr>
              <w:spacing w:after="0"/>
              <w:rPr>
                <w:sz w:val="2"/>
                <w:szCs w:val="2"/>
                <w:color w:val="auto"/>
              </w:rPr>
            </w:pPr>
          </w:p>
        </w:tc>
        <w:tc>
          <w:tcPr>
            <w:tcW w:w="1540" w:type="dxa"/>
            <w:vAlign w:val="bottom"/>
            <w:tcBorders>
              <w:bottom w:val="single" w:sz="8" w:color="2D53A6"/>
              <w:right w:val="single" w:sz="8" w:color="2D53A6"/>
            </w:tcBorders>
          </w:tcPr>
          <w:p>
            <w:pPr>
              <w:spacing w:after="0"/>
              <w:rPr>
                <w:sz w:val="2"/>
                <w:szCs w:val="2"/>
                <w:color w:val="auto"/>
              </w:rPr>
            </w:pPr>
          </w:p>
        </w:tc>
        <w:tc>
          <w:tcPr>
            <w:tcW w:w="1180" w:type="dxa"/>
            <w:vAlign w:val="bottom"/>
            <w:tcBorders>
              <w:bottom w:val="single" w:sz="8" w:color="2D53A6"/>
              <w:right w:val="single" w:sz="8" w:color="2D53A6"/>
            </w:tcBorders>
          </w:tcPr>
          <w:p>
            <w:pPr>
              <w:spacing w:after="0"/>
              <w:rPr>
                <w:sz w:val="2"/>
                <w:szCs w:val="2"/>
                <w:color w:val="auto"/>
              </w:rPr>
            </w:pPr>
          </w:p>
        </w:tc>
        <w:tc>
          <w:tcPr>
            <w:tcW w:w="660" w:type="dxa"/>
            <w:vAlign w:val="bottom"/>
            <w:tcBorders>
              <w:bottom w:val="single" w:sz="8" w:color="2D53A6"/>
              <w:right w:val="single" w:sz="8" w:color="2D53A6"/>
            </w:tcBorders>
          </w:tcPr>
          <w:p>
            <w:pPr>
              <w:spacing w:after="0"/>
              <w:rPr>
                <w:sz w:val="2"/>
                <w:szCs w:val="2"/>
                <w:color w:val="auto"/>
              </w:rPr>
            </w:pPr>
          </w:p>
        </w:tc>
        <w:tc>
          <w:tcPr>
            <w:tcW w:w="680" w:type="dxa"/>
            <w:vAlign w:val="bottom"/>
            <w:tcBorders>
              <w:bottom w:val="single" w:sz="8" w:color="2D53A6"/>
              <w:right w:val="single" w:sz="8" w:color="2D53A6"/>
            </w:tcBorders>
          </w:tcPr>
          <w:p>
            <w:pPr>
              <w:spacing w:after="0"/>
              <w:rPr>
                <w:sz w:val="2"/>
                <w:szCs w:val="2"/>
                <w:color w:val="auto"/>
              </w:rPr>
            </w:pPr>
          </w:p>
        </w:tc>
        <w:tc>
          <w:tcPr>
            <w:tcW w:w="680" w:type="dxa"/>
            <w:vAlign w:val="bottom"/>
            <w:tcBorders>
              <w:bottom w:val="single" w:sz="8" w:color="2D53A6"/>
              <w:right w:val="single" w:sz="8" w:color="2D53A6"/>
            </w:tcBorders>
          </w:tcPr>
          <w:p>
            <w:pPr>
              <w:spacing w:after="0"/>
              <w:rPr>
                <w:sz w:val="2"/>
                <w:szCs w:val="2"/>
                <w:color w:val="auto"/>
              </w:rPr>
            </w:pPr>
          </w:p>
        </w:tc>
        <w:tc>
          <w:tcPr>
            <w:tcW w:w="278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Independence is determined annually by the board of directors in accordance with the Company’s corporate governance guidelines and Nasdaq rules.</w:t>
      </w:r>
    </w:p>
    <w:p>
      <w:pPr>
        <w:sectPr>
          <w:pgSz w:w="11900" w:h="16838" w:orient="portrait"/>
          <w:cols w:equalWidth="0" w:num="1">
            <w:col w:w="11240"/>
          </w:cols>
          <w:pgMar w:left="320" w:top="121" w:right="33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AC - Audit Committee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CC - Compensation Committee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NGC - Nominating and Governance Committee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C - Chair</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 - Member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 Also qualifies as an audit committee financial expert (as determined based on SEC rules)</w:t>
      </w:r>
    </w:p>
    <w:p>
      <w:pPr>
        <w:spacing w:after="0" w:line="200" w:lineRule="exact"/>
        <w:rPr>
          <w:sz w:val="20"/>
          <w:szCs w:val="20"/>
          <w:color w:val="auto"/>
        </w:rPr>
      </w:pPr>
    </w:p>
    <w:p>
      <w:pPr>
        <w:sectPr>
          <w:pgSz w:w="11900" w:h="16838" w:orient="portrait"/>
          <w:cols w:equalWidth="0" w:num="2">
            <w:col w:w="3240" w:space="720"/>
            <w:col w:w="7280"/>
          </w:cols>
          <w:pgMar w:left="320" w:top="121" w:right="339" w:bottom="1440" w:gutter="0" w:footer="0" w:header="0"/>
          <w:type w:val="continuous"/>
        </w:sectPr>
      </w:pP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Director Key Requirements, Skills and Experience Highlights</w:t>
      </w:r>
    </w:p>
    <w:p>
      <w:pPr>
        <w:spacing w:after="0" w:line="21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following matrix provides information regarding the members of our Board, including certain types of knowledge, skills, experiences and attributes possessed by one or more of our directors which our Board believes are relevant to our business.</w:t>
      </w:r>
    </w:p>
    <w:p>
      <w:pPr>
        <w:spacing w:after="0" w:line="14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940" w:type="dxa"/>
            <w:vAlign w:val="bottom"/>
            <w:tcBorders>
              <w:right w:val="single" w:sz="8" w:color="2D53A6"/>
            </w:tcBorders>
            <w:gridSpan w:val="2"/>
            <w:shd w:val="clear" w:color="auto" w:fill="2D53A6"/>
          </w:tcPr>
          <w:p>
            <w:pPr>
              <w:spacing w:after="0"/>
              <w:rPr>
                <w:sz w:val="20"/>
                <w:szCs w:val="20"/>
                <w:color w:val="auto"/>
              </w:rPr>
            </w:pPr>
            <w:r>
              <w:rPr>
                <w:rFonts w:ascii="Arial" w:cs="Arial" w:eastAsia="Arial" w:hAnsi="Arial"/>
                <w:sz w:val="20"/>
                <w:szCs w:val="20"/>
                <w:b w:val="1"/>
                <w:bCs w:val="1"/>
                <w:color w:val="FFFFFF"/>
              </w:rPr>
              <w:t>Key Qualifications, Skills and Experiences of our</w:t>
            </w:r>
          </w:p>
        </w:tc>
        <w:tc>
          <w:tcPr>
            <w:tcW w:w="700" w:type="dxa"/>
            <w:vAlign w:val="bottom"/>
            <w:tcBorders>
              <w:right w:val="single" w:sz="8" w:color="2D53A6"/>
            </w:tcBorders>
            <w:shd w:val="clear" w:color="auto" w:fill="2D53A6"/>
          </w:tcPr>
          <w:p>
            <w:pPr>
              <w:ind w:left="100"/>
              <w:spacing w:after="0"/>
              <w:rPr>
                <w:sz w:val="20"/>
                <w:szCs w:val="20"/>
                <w:color w:val="auto"/>
              </w:rPr>
            </w:pPr>
            <w:r>
              <w:rPr>
                <w:rFonts w:ascii="Arial" w:cs="Arial" w:eastAsia="Arial" w:hAnsi="Arial"/>
                <w:sz w:val="11"/>
                <w:szCs w:val="11"/>
                <w:b w:val="1"/>
                <w:bCs w:val="1"/>
                <w:color w:val="FFFFFF"/>
              </w:rPr>
              <w:t>Bendush</w:t>
            </w:r>
          </w:p>
        </w:tc>
        <w:tc>
          <w:tcPr>
            <w:tcW w:w="700" w:type="dxa"/>
            <w:vAlign w:val="bottom"/>
            <w:tcBorders>
              <w:right w:val="single" w:sz="8" w:color="2D53A6"/>
            </w:tcBorders>
            <w:shd w:val="clear" w:color="auto" w:fill="2D53A6"/>
          </w:tcPr>
          <w:p>
            <w:pPr>
              <w:ind w:left="100"/>
              <w:spacing w:after="0"/>
              <w:rPr>
                <w:sz w:val="20"/>
                <w:szCs w:val="20"/>
                <w:color w:val="auto"/>
              </w:rPr>
            </w:pPr>
            <w:r>
              <w:rPr>
                <w:rFonts w:ascii="Arial" w:cs="Arial" w:eastAsia="Arial" w:hAnsi="Arial"/>
                <w:sz w:val="11"/>
                <w:szCs w:val="11"/>
                <w:b w:val="1"/>
                <w:bCs w:val="1"/>
                <w:color w:val="FFFFFF"/>
              </w:rPr>
              <w:t>Bilodeau</w:t>
            </w:r>
          </w:p>
        </w:tc>
        <w:tc>
          <w:tcPr>
            <w:tcW w:w="700" w:type="dxa"/>
            <w:vAlign w:val="bottom"/>
            <w:tcBorders>
              <w:right w:val="single" w:sz="8" w:color="2D53A6"/>
            </w:tcBorders>
            <w:shd w:val="clear" w:color="auto" w:fill="2D53A6"/>
          </w:tcPr>
          <w:p>
            <w:pPr>
              <w:ind w:left="160"/>
              <w:spacing w:after="0"/>
              <w:rPr>
                <w:sz w:val="20"/>
                <w:szCs w:val="20"/>
                <w:color w:val="auto"/>
              </w:rPr>
            </w:pPr>
            <w:r>
              <w:rPr>
                <w:rFonts w:ascii="Arial" w:cs="Arial" w:eastAsia="Arial" w:hAnsi="Arial"/>
                <w:sz w:val="11"/>
                <w:szCs w:val="11"/>
                <w:b w:val="1"/>
                <w:bCs w:val="1"/>
                <w:color w:val="FFFFFF"/>
              </w:rPr>
              <w:t>Caggia</w:t>
            </w:r>
          </w:p>
        </w:tc>
        <w:tc>
          <w:tcPr>
            <w:tcW w:w="680" w:type="dxa"/>
            <w:vAlign w:val="bottom"/>
            <w:tcBorders>
              <w:right w:val="single" w:sz="8" w:color="2D53A6"/>
            </w:tcBorders>
            <w:shd w:val="clear" w:color="auto" w:fill="2D53A6"/>
          </w:tcPr>
          <w:p>
            <w:pPr>
              <w:ind w:left="100"/>
              <w:spacing w:after="0"/>
              <w:rPr>
                <w:sz w:val="20"/>
                <w:szCs w:val="20"/>
                <w:color w:val="auto"/>
              </w:rPr>
            </w:pPr>
            <w:r>
              <w:rPr>
                <w:rFonts w:ascii="Arial" w:cs="Arial" w:eastAsia="Arial" w:hAnsi="Arial"/>
                <w:sz w:val="11"/>
                <w:szCs w:val="11"/>
                <w:b w:val="1"/>
                <w:bCs w:val="1"/>
                <w:color w:val="FFFFFF"/>
              </w:rPr>
              <w:t>Donahue</w:t>
            </w:r>
          </w:p>
        </w:tc>
        <w:tc>
          <w:tcPr>
            <w:tcW w:w="7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1"/>
                <w:szCs w:val="11"/>
                <w:b w:val="1"/>
                <w:bCs w:val="1"/>
                <w:color w:val="FFFFFF"/>
                <w:w w:val="98"/>
              </w:rPr>
              <w:t>Jorden</w:t>
            </w:r>
          </w:p>
        </w:tc>
        <w:tc>
          <w:tcPr>
            <w:tcW w:w="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1"/>
                <w:szCs w:val="11"/>
                <w:b w:val="1"/>
                <w:bCs w:val="1"/>
                <w:color w:val="FFFFFF"/>
                <w:w w:val="97"/>
              </w:rPr>
              <w:t>Mattes</w:t>
            </w:r>
          </w:p>
        </w:tc>
        <w:tc>
          <w:tcPr>
            <w:tcW w:w="700" w:type="dxa"/>
            <w:vAlign w:val="bottom"/>
            <w:tcBorders>
              <w:right w:val="single" w:sz="8" w:color="2D53A6"/>
            </w:tcBorders>
            <w:shd w:val="clear" w:color="auto" w:fill="2D53A6"/>
          </w:tcPr>
          <w:p>
            <w:pPr>
              <w:ind w:left="180"/>
              <w:spacing w:after="0"/>
              <w:rPr>
                <w:sz w:val="20"/>
                <w:szCs w:val="20"/>
                <w:color w:val="auto"/>
              </w:rPr>
            </w:pPr>
            <w:r>
              <w:rPr>
                <w:rFonts w:ascii="Arial" w:cs="Arial" w:eastAsia="Arial" w:hAnsi="Arial"/>
                <w:sz w:val="11"/>
                <w:szCs w:val="11"/>
                <w:b w:val="1"/>
                <w:bCs w:val="1"/>
                <w:color w:val="FFFFFF"/>
              </w:rPr>
              <w:t>M</w:t>
            </w:r>
            <w:r>
              <w:rPr>
                <w:rFonts w:ascii="Arial" w:cs="Arial" w:eastAsia="Arial" w:hAnsi="Arial"/>
                <w:sz w:val="11"/>
                <w:szCs w:val="11"/>
                <w:color w:val="FFFFFF"/>
              </w:rPr>
              <w:t>ü</w:t>
            </w:r>
            <w:r>
              <w:rPr>
                <w:rFonts w:ascii="Arial" w:cs="Arial" w:eastAsia="Arial" w:hAnsi="Arial"/>
                <w:sz w:val="11"/>
                <w:szCs w:val="11"/>
                <w:b w:val="1"/>
                <w:bCs w:val="1"/>
                <w:color w:val="FFFFFF"/>
              </w:rPr>
              <w:t>ller</w:t>
            </w:r>
          </w:p>
        </w:tc>
        <w:tc>
          <w:tcPr>
            <w:tcW w:w="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1"/>
                <w:szCs w:val="11"/>
                <w:b w:val="1"/>
                <w:bCs w:val="1"/>
                <w:color w:val="FFFFFF"/>
                <w:w w:val="94"/>
              </w:rPr>
              <w:t>Rapp</w:t>
            </w:r>
          </w:p>
        </w:tc>
        <w:tc>
          <w:tcPr>
            <w:tcW w:w="800" w:type="dxa"/>
            <w:vAlign w:val="bottom"/>
            <w:shd w:val="clear" w:color="auto" w:fill="2D53A6"/>
          </w:tcPr>
          <w:p>
            <w:pPr>
              <w:jc w:val="center"/>
              <w:spacing w:after="0"/>
              <w:rPr>
                <w:sz w:val="20"/>
                <w:szCs w:val="20"/>
                <w:color w:val="auto"/>
              </w:rPr>
            </w:pPr>
            <w:r>
              <w:rPr>
                <w:rFonts w:ascii="Arial" w:cs="Arial" w:eastAsia="Arial" w:hAnsi="Arial"/>
                <w:sz w:val="11"/>
                <w:szCs w:val="11"/>
                <w:b w:val="1"/>
                <w:bCs w:val="1"/>
                <w:color w:val="FFFFFF"/>
                <w:w w:val="99"/>
              </w:rPr>
              <w:t>Richardson</w:t>
            </w:r>
          </w:p>
        </w:tc>
        <w:tc>
          <w:tcPr>
            <w:tcW w:w="0" w:type="dxa"/>
            <w:vAlign w:val="bottom"/>
          </w:tcPr>
          <w:p>
            <w:pPr>
              <w:spacing w:after="0"/>
              <w:rPr>
                <w:sz w:val="1"/>
                <w:szCs w:val="1"/>
                <w:color w:val="auto"/>
              </w:rPr>
            </w:pPr>
          </w:p>
        </w:tc>
      </w:tr>
      <w:tr>
        <w:trPr>
          <w:trHeight w:val="203"/>
        </w:trPr>
        <w:tc>
          <w:tcPr>
            <w:tcW w:w="4940" w:type="dxa"/>
            <w:vAlign w:val="bottom"/>
            <w:tcBorders>
              <w:right w:val="single" w:sz="8" w:color="2D53A6"/>
            </w:tcBorders>
            <w:gridSpan w:val="2"/>
            <w:shd w:val="clear" w:color="auto" w:fill="2D53A6"/>
          </w:tcPr>
          <w:p>
            <w:pPr>
              <w:spacing w:after="0" w:line="189" w:lineRule="exact"/>
              <w:rPr>
                <w:sz w:val="20"/>
                <w:szCs w:val="20"/>
                <w:color w:val="auto"/>
              </w:rPr>
            </w:pPr>
            <w:r>
              <w:rPr>
                <w:rFonts w:ascii="Arial" w:cs="Arial" w:eastAsia="Arial" w:hAnsi="Arial"/>
                <w:sz w:val="20"/>
                <w:szCs w:val="20"/>
                <w:b w:val="1"/>
                <w:bCs w:val="1"/>
                <w:color w:val="FFFFFF"/>
              </w:rPr>
              <w:t>Directors</w:t>
            </w:r>
          </w:p>
        </w:tc>
        <w:tc>
          <w:tcPr>
            <w:tcW w:w="700" w:type="dxa"/>
            <w:vAlign w:val="bottom"/>
            <w:tcBorders>
              <w:right w:val="single" w:sz="8" w:color="2D53A6"/>
            </w:tcBorders>
            <w:shd w:val="clear" w:color="auto" w:fill="2D53A6"/>
          </w:tcPr>
          <w:p>
            <w:pPr>
              <w:spacing w:after="0"/>
              <w:rPr>
                <w:sz w:val="17"/>
                <w:szCs w:val="17"/>
                <w:color w:val="auto"/>
              </w:rPr>
            </w:pPr>
          </w:p>
        </w:tc>
        <w:tc>
          <w:tcPr>
            <w:tcW w:w="700" w:type="dxa"/>
            <w:vAlign w:val="bottom"/>
            <w:tcBorders>
              <w:right w:val="single" w:sz="8" w:color="2D53A6"/>
            </w:tcBorders>
            <w:shd w:val="clear" w:color="auto" w:fill="2D53A6"/>
          </w:tcPr>
          <w:p>
            <w:pPr>
              <w:spacing w:after="0"/>
              <w:rPr>
                <w:sz w:val="17"/>
                <w:szCs w:val="17"/>
                <w:color w:val="auto"/>
              </w:rPr>
            </w:pPr>
          </w:p>
        </w:tc>
        <w:tc>
          <w:tcPr>
            <w:tcW w:w="700" w:type="dxa"/>
            <w:vAlign w:val="bottom"/>
            <w:tcBorders>
              <w:right w:val="single" w:sz="8" w:color="2D53A6"/>
            </w:tcBorders>
            <w:shd w:val="clear" w:color="auto" w:fill="2D53A6"/>
          </w:tcPr>
          <w:p>
            <w:pPr>
              <w:spacing w:after="0"/>
              <w:rPr>
                <w:sz w:val="17"/>
                <w:szCs w:val="17"/>
                <w:color w:val="auto"/>
              </w:rPr>
            </w:pPr>
          </w:p>
        </w:tc>
        <w:tc>
          <w:tcPr>
            <w:tcW w:w="680" w:type="dxa"/>
            <w:vAlign w:val="bottom"/>
            <w:tcBorders>
              <w:right w:val="single" w:sz="8" w:color="2D53A6"/>
            </w:tcBorders>
            <w:shd w:val="clear" w:color="auto" w:fill="2D53A6"/>
          </w:tcPr>
          <w:p>
            <w:pPr>
              <w:spacing w:after="0"/>
              <w:rPr>
                <w:sz w:val="17"/>
                <w:szCs w:val="17"/>
                <w:color w:val="auto"/>
              </w:rPr>
            </w:pPr>
          </w:p>
        </w:tc>
        <w:tc>
          <w:tcPr>
            <w:tcW w:w="700" w:type="dxa"/>
            <w:vAlign w:val="bottom"/>
            <w:tcBorders>
              <w:right w:val="single" w:sz="8" w:color="2D53A6"/>
            </w:tcBorders>
            <w:shd w:val="clear" w:color="auto" w:fill="2D53A6"/>
          </w:tcPr>
          <w:p>
            <w:pPr>
              <w:spacing w:after="0"/>
              <w:rPr>
                <w:sz w:val="17"/>
                <w:szCs w:val="17"/>
                <w:color w:val="auto"/>
              </w:rPr>
            </w:pPr>
          </w:p>
        </w:tc>
        <w:tc>
          <w:tcPr>
            <w:tcW w:w="660" w:type="dxa"/>
            <w:vAlign w:val="bottom"/>
            <w:tcBorders>
              <w:right w:val="single" w:sz="8" w:color="2D53A6"/>
            </w:tcBorders>
            <w:shd w:val="clear" w:color="auto" w:fill="2D53A6"/>
          </w:tcPr>
          <w:p>
            <w:pPr>
              <w:spacing w:after="0"/>
              <w:rPr>
                <w:sz w:val="17"/>
                <w:szCs w:val="17"/>
                <w:color w:val="auto"/>
              </w:rPr>
            </w:pPr>
          </w:p>
        </w:tc>
        <w:tc>
          <w:tcPr>
            <w:tcW w:w="700" w:type="dxa"/>
            <w:vAlign w:val="bottom"/>
            <w:tcBorders>
              <w:right w:val="single" w:sz="8" w:color="2D53A6"/>
            </w:tcBorders>
            <w:shd w:val="clear" w:color="auto" w:fill="2D53A6"/>
          </w:tcPr>
          <w:p>
            <w:pPr>
              <w:spacing w:after="0"/>
              <w:rPr>
                <w:sz w:val="17"/>
                <w:szCs w:val="17"/>
                <w:color w:val="auto"/>
              </w:rPr>
            </w:pPr>
          </w:p>
        </w:tc>
        <w:tc>
          <w:tcPr>
            <w:tcW w:w="660" w:type="dxa"/>
            <w:vAlign w:val="bottom"/>
            <w:tcBorders>
              <w:right w:val="single" w:sz="8" w:color="2D53A6"/>
            </w:tcBorders>
            <w:shd w:val="clear" w:color="auto" w:fill="2D53A6"/>
          </w:tcPr>
          <w:p>
            <w:pPr>
              <w:spacing w:after="0"/>
              <w:rPr>
                <w:sz w:val="17"/>
                <w:szCs w:val="17"/>
                <w:color w:val="auto"/>
              </w:rPr>
            </w:pPr>
          </w:p>
        </w:tc>
        <w:tc>
          <w:tcPr>
            <w:tcW w:w="800" w:type="dxa"/>
            <w:vAlign w:val="bottom"/>
            <w:shd w:val="clear" w:color="auto" w:fill="2D53A6"/>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40" w:type="dxa"/>
            <w:vAlign w:val="bottom"/>
            <w:tcBorders>
              <w:right w:val="single" w:sz="8" w:color="2D53A6"/>
            </w:tcBorders>
            <w:gridSpan w:val="2"/>
          </w:tcPr>
          <w:p>
            <w:pPr>
              <w:spacing w:after="0" w:line="183" w:lineRule="exact"/>
              <w:rPr>
                <w:sz w:val="20"/>
                <w:szCs w:val="20"/>
                <w:color w:val="auto"/>
              </w:rPr>
            </w:pPr>
            <w:r>
              <w:rPr>
                <w:rFonts w:ascii="Arial" w:cs="Arial" w:eastAsia="Arial" w:hAnsi="Arial"/>
                <w:sz w:val="18"/>
                <w:szCs w:val="18"/>
                <w:b w:val="1"/>
                <w:bCs w:val="1"/>
                <w:color w:val="auto"/>
              </w:rPr>
              <w:t xml:space="preserve">Industry Knowledge </w:t>
            </w:r>
            <w:r>
              <w:rPr>
                <w:rFonts w:ascii="Arial" w:cs="Arial" w:eastAsia="Arial" w:hAnsi="Arial"/>
                <w:sz w:val="18"/>
                <w:szCs w:val="18"/>
                <w:color w:val="auto"/>
              </w:rPr>
              <w:t>– Knowledge of and experience with</w:t>
            </w:r>
          </w:p>
        </w:tc>
        <w:tc>
          <w:tcPr>
            <w:tcW w:w="700" w:type="dxa"/>
            <w:vAlign w:val="bottom"/>
            <w:tcBorders>
              <w:right w:val="single" w:sz="8" w:color="2D53A6"/>
            </w:tcBorders>
          </w:tcPr>
          <w:p>
            <w:pPr>
              <w:spacing w:after="0"/>
              <w:rPr>
                <w:sz w:val="15"/>
                <w:szCs w:val="15"/>
                <w:color w:val="auto"/>
              </w:rPr>
            </w:pPr>
          </w:p>
        </w:tc>
        <w:tc>
          <w:tcPr>
            <w:tcW w:w="700" w:type="dxa"/>
            <w:vAlign w:val="bottom"/>
            <w:tcBorders>
              <w:right w:val="single" w:sz="8" w:color="2D53A6"/>
            </w:tcBorders>
          </w:tcPr>
          <w:p>
            <w:pPr>
              <w:spacing w:after="0"/>
              <w:rPr>
                <w:sz w:val="15"/>
                <w:szCs w:val="15"/>
                <w:color w:val="auto"/>
              </w:rPr>
            </w:pPr>
          </w:p>
        </w:tc>
        <w:tc>
          <w:tcPr>
            <w:tcW w:w="700" w:type="dxa"/>
            <w:vAlign w:val="bottom"/>
            <w:tcBorders>
              <w:right w:val="single" w:sz="8" w:color="2D53A6"/>
            </w:tcBorders>
          </w:tcPr>
          <w:p>
            <w:pPr>
              <w:spacing w:after="0"/>
              <w:rPr>
                <w:sz w:val="15"/>
                <w:szCs w:val="15"/>
                <w:color w:val="auto"/>
              </w:rPr>
            </w:pPr>
          </w:p>
        </w:tc>
        <w:tc>
          <w:tcPr>
            <w:tcW w:w="680" w:type="dxa"/>
            <w:vAlign w:val="bottom"/>
            <w:tcBorders>
              <w:right w:val="single" w:sz="8" w:color="2D53A6"/>
            </w:tcBorders>
          </w:tcPr>
          <w:p>
            <w:pPr>
              <w:spacing w:after="0"/>
              <w:rPr>
                <w:sz w:val="15"/>
                <w:szCs w:val="15"/>
                <w:color w:val="auto"/>
              </w:rPr>
            </w:pPr>
          </w:p>
        </w:tc>
        <w:tc>
          <w:tcPr>
            <w:tcW w:w="700" w:type="dxa"/>
            <w:vAlign w:val="bottom"/>
            <w:tcBorders>
              <w:right w:val="single" w:sz="8" w:color="2D53A6"/>
            </w:tcBorders>
          </w:tcPr>
          <w:p>
            <w:pPr>
              <w:spacing w:after="0"/>
              <w:rPr>
                <w:sz w:val="15"/>
                <w:szCs w:val="15"/>
                <w:color w:val="auto"/>
              </w:rPr>
            </w:pPr>
          </w:p>
        </w:tc>
        <w:tc>
          <w:tcPr>
            <w:tcW w:w="660" w:type="dxa"/>
            <w:vAlign w:val="bottom"/>
            <w:tcBorders>
              <w:right w:val="single" w:sz="8" w:color="2D53A6"/>
            </w:tcBorders>
          </w:tcPr>
          <w:p>
            <w:pPr>
              <w:spacing w:after="0"/>
              <w:rPr>
                <w:sz w:val="15"/>
                <w:szCs w:val="15"/>
                <w:color w:val="auto"/>
              </w:rPr>
            </w:pPr>
          </w:p>
        </w:tc>
        <w:tc>
          <w:tcPr>
            <w:tcW w:w="700" w:type="dxa"/>
            <w:vAlign w:val="bottom"/>
            <w:tcBorders>
              <w:right w:val="single" w:sz="8" w:color="2D53A6"/>
            </w:tcBorders>
          </w:tcPr>
          <w:p>
            <w:pPr>
              <w:spacing w:after="0"/>
              <w:rPr>
                <w:sz w:val="15"/>
                <w:szCs w:val="15"/>
                <w:color w:val="auto"/>
              </w:rPr>
            </w:pPr>
          </w:p>
        </w:tc>
        <w:tc>
          <w:tcPr>
            <w:tcW w:w="660" w:type="dxa"/>
            <w:vAlign w:val="bottom"/>
            <w:tcBorders>
              <w:right w:val="single" w:sz="8" w:color="2D53A6"/>
            </w:tcBorders>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40" w:type="dxa"/>
            <w:vAlign w:val="bottom"/>
            <w:tcBorders>
              <w:right w:val="single" w:sz="8" w:color="2D53A6"/>
            </w:tcBorders>
            <w:gridSpan w:val="2"/>
          </w:tcPr>
          <w:p>
            <w:pPr>
              <w:spacing w:after="0" w:line="202" w:lineRule="exact"/>
              <w:rPr>
                <w:sz w:val="20"/>
                <w:szCs w:val="20"/>
                <w:color w:val="auto"/>
              </w:rPr>
            </w:pPr>
            <w:r>
              <w:rPr>
                <w:rFonts w:ascii="Arial" w:cs="Arial" w:eastAsia="Arial" w:hAnsi="Arial"/>
                <w:sz w:val="18"/>
                <w:szCs w:val="18"/>
                <w:color w:val="auto"/>
              </w:rPr>
              <w:t>our semiconductor equipment and broader semiconductor</w:t>
            </w:r>
          </w:p>
        </w:tc>
        <w:tc>
          <w:tcPr>
            <w:tcW w:w="70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940" w:type="dxa"/>
            <w:vAlign w:val="bottom"/>
            <w:tcBorders>
              <w:bottom w:val="single" w:sz="8" w:color="2D53A6"/>
              <w:right w:val="single" w:sz="8" w:color="2D53A6"/>
            </w:tcBorders>
            <w:gridSpan w:val="2"/>
          </w:tcPr>
          <w:p>
            <w:pPr>
              <w:spacing w:after="0"/>
              <w:rPr>
                <w:sz w:val="20"/>
                <w:szCs w:val="20"/>
                <w:color w:val="auto"/>
              </w:rPr>
            </w:pPr>
            <w:r>
              <w:rPr>
                <w:rFonts w:ascii="Arial" w:cs="Arial" w:eastAsia="Arial" w:hAnsi="Arial"/>
                <w:sz w:val="18"/>
                <w:szCs w:val="18"/>
                <w:color w:val="auto"/>
              </w:rPr>
              <w:t>markets</w:t>
            </w:r>
          </w:p>
        </w:tc>
        <w:tc>
          <w:tcPr>
            <w:tcW w:w="700" w:type="dxa"/>
            <w:vAlign w:val="bottom"/>
            <w:tcBorders>
              <w:bottom w:val="single" w:sz="8" w:color="2D53A6"/>
              <w:right w:val="single" w:sz="8" w:color="2D53A6"/>
            </w:tcBorders>
          </w:tcPr>
          <w:p>
            <w:pPr>
              <w:spacing w:after="0"/>
              <w:rPr>
                <w:sz w:val="19"/>
                <w:szCs w:val="19"/>
                <w:color w:val="auto"/>
              </w:rPr>
            </w:pPr>
          </w:p>
        </w:tc>
        <w:tc>
          <w:tcPr>
            <w:tcW w:w="700" w:type="dxa"/>
            <w:vAlign w:val="bottom"/>
            <w:tcBorders>
              <w:bottom w:val="single" w:sz="8" w:color="2D53A6"/>
              <w:right w:val="single" w:sz="8" w:color="2D53A6"/>
            </w:tcBorders>
          </w:tcPr>
          <w:p>
            <w:pPr>
              <w:spacing w:after="0"/>
              <w:rPr>
                <w:sz w:val="19"/>
                <w:szCs w:val="19"/>
                <w:color w:val="auto"/>
              </w:rPr>
            </w:pPr>
          </w:p>
        </w:tc>
        <w:tc>
          <w:tcPr>
            <w:tcW w:w="700" w:type="dxa"/>
            <w:vAlign w:val="bottom"/>
            <w:tcBorders>
              <w:bottom w:val="single" w:sz="8" w:color="2D53A6"/>
              <w:right w:val="single" w:sz="8" w:color="2D53A6"/>
            </w:tcBorders>
          </w:tcPr>
          <w:p>
            <w:pPr>
              <w:spacing w:after="0"/>
              <w:rPr>
                <w:sz w:val="19"/>
                <w:szCs w:val="19"/>
                <w:color w:val="auto"/>
              </w:rPr>
            </w:pPr>
          </w:p>
        </w:tc>
        <w:tc>
          <w:tcPr>
            <w:tcW w:w="680" w:type="dxa"/>
            <w:vAlign w:val="bottom"/>
            <w:tcBorders>
              <w:bottom w:val="single" w:sz="8" w:color="2D53A6"/>
              <w:right w:val="single" w:sz="8" w:color="2D53A6"/>
            </w:tcBorders>
          </w:tcPr>
          <w:p>
            <w:pPr>
              <w:spacing w:after="0"/>
              <w:rPr>
                <w:sz w:val="19"/>
                <w:szCs w:val="19"/>
                <w:color w:val="auto"/>
              </w:rPr>
            </w:pPr>
          </w:p>
        </w:tc>
        <w:tc>
          <w:tcPr>
            <w:tcW w:w="700" w:type="dxa"/>
            <w:vAlign w:val="bottom"/>
            <w:tcBorders>
              <w:bottom w:val="single" w:sz="8" w:color="2D53A6"/>
              <w:right w:val="single" w:sz="8" w:color="2D53A6"/>
            </w:tcBorders>
          </w:tcPr>
          <w:p>
            <w:pPr>
              <w:spacing w:after="0"/>
              <w:rPr>
                <w:sz w:val="19"/>
                <w:szCs w:val="19"/>
                <w:color w:val="auto"/>
              </w:rPr>
            </w:pPr>
          </w:p>
        </w:tc>
        <w:tc>
          <w:tcPr>
            <w:tcW w:w="660" w:type="dxa"/>
            <w:vAlign w:val="bottom"/>
            <w:tcBorders>
              <w:bottom w:val="single" w:sz="8" w:color="2D53A6"/>
              <w:right w:val="single" w:sz="8" w:color="2D53A6"/>
            </w:tcBorders>
          </w:tcPr>
          <w:p>
            <w:pPr>
              <w:spacing w:after="0"/>
              <w:rPr>
                <w:sz w:val="19"/>
                <w:szCs w:val="19"/>
                <w:color w:val="auto"/>
              </w:rPr>
            </w:pPr>
          </w:p>
        </w:tc>
        <w:tc>
          <w:tcPr>
            <w:tcW w:w="700" w:type="dxa"/>
            <w:vAlign w:val="bottom"/>
            <w:tcBorders>
              <w:bottom w:val="single" w:sz="8" w:color="2D53A6"/>
              <w:right w:val="single" w:sz="8" w:color="2D53A6"/>
            </w:tcBorders>
          </w:tcPr>
          <w:p>
            <w:pPr>
              <w:spacing w:after="0"/>
              <w:rPr>
                <w:sz w:val="19"/>
                <w:szCs w:val="19"/>
                <w:color w:val="auto"/>
              </w:rPr>
            </w:pPr>
          </w:p>
        </w:tc>
        <w:tc>
          <w:tcPr>
            <w:tcW w:w="660" w:type="dxa"/>
            <w:vAlign w:val="bottom"/>
            <w:tcBorders>
              <w:bottom w:val="single" w:sz="8" w:color="2D53A6"/>
              <w:right w:val="single" w:sz="8" w:color="2D53A6"/>
            </w:tcBorders>
          </w:tcPr>
          <w:p>
            <w:pPr>
              <w:spacing w:after="0"/>
              <w:rPr>
                <w:sz w:val="19"/>
                <w:szCs w:val="19"/>
                <w:color w:val="auto"/>
              </w:rPr>
            </w:pPr>
          </w:p>
        </w:tc>
        <w:tc>
          <w:tcPr>
            <w:tcW w:w="800" w:type="dxa"/>
            <w:vAlign w:val="bottom"/>
            <w:tcBorders>
              <w:bottom w:val="single" w:sz="8" w:color="2D53A6"/>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940" w:type="dxa"/>
            <w:vAlign w:val="bottom"/>
            <w:tcBorders>
              <w:right w:val="single" w:sz="8" w:color="2D53A6"/>
            </w:tcBorders>
            <w:gridSpan w:val="2"/>
            <w:shd w:val="clear" w:color="auto" w:fill="E6E6E6"/>
          </w:tcPr>
          <w:p>
            <w:pPr>
              <w:spacing w:after="0" w:line="177" w:lineRule="exact"/>
              <w:rPr>
                <w:sz w:val="20"/>
                <w:szCs w:val="20"/>
                <w:color w:val="auto"/>
              </w:rPr>
            </w:pPr>
            <w:r>
              <w:rPr>
                <w:rFonts w:ascii="Arial" w:cs="Arial" w:eastAsia="Arial" w:hAnsi="Arial"/>
                <w:sz w:val="18"/>
                <w:szCs w:val="18"/>
                <w:b w:val="1"/>
                <w:bCs w:val="1"/>
                <w:color w:val="auto"/>
              </w:rPr>
              <w:t xml:space="preserve">Public Company Board Experience </w:t>
            </w:r>
            <w:r>
              <w:rPr>
                <w:rFonts w:ascii="Arial" w:cs="Arial" w:eastAsia="Arial" w:hAnsi="Arial"/>
                <w:sz w:val="18"/>
                <w:szCs w:val="18"/>
                <w:color w:val="auto"/>
              </w:rPr>
              <w:t>– Experience as</w:t>
            </w:r>
          </w:p>
        </w:tc>
        <w:tc>
          <w:tcPr>
            <w:tcW w:w="700" w:type="dxa"/>
            <w:vAlign w:val="bottom"/>
            <w:tcBorders>
              <w:right w:val="single" w:sz="8" w:color="2D53A6"/>
            </w:tcBorders>
            <w:shd w:val="clear" w:color="auto" w:fill="E6E6E6"/>
          </w:tcPr>
          <w:p>
            <w:pPr>
              <w:spacing w:after="0"/>
              <w:rPr>
                <w:sz w:val="15"/>
                <w:szCs w:val="15"/>
                <w:color w:val="auto"/>
              </w:rPr>
            </w:pPr>
          </w:p>
        </w:tc>
        <w:tc>
          <w:tcPr>
            <w:tcW w:w="700" w:type="dxa"/>
            <w:vAlign w:val="bottom"/>
            <w:tcBorders>
              <w:right w:val="single" w:sz="8" w:color="2D53A6"/>
            </w:tcBorders>
            <w:shd w:val="clear" w:color="auto" w:fill="E6E6E6"/>
          </w:tcPr>
          <w:p>
            <w:pPr>
              <w:spacing w:after="0"/>
              <w:rPr>
                <w:sz w:val="15"/>
                <w:szCs w:val="15"/>
                <w:color w:val="auto"/>
              </w:rPr>
            </w:pPr>
          </w:p>
        </w:tc>
        <w:tc>
          <w:tcPr>
            <w:tcW w:w="700" w:type="dxa"/>
            <w:vAlign w:val="bottom"/>
            <w:tcBorders>
              <w:right w:val="single" w:sz="8" w:color="2D53A6"/>
            </w:tcBorders>
            <w:shd w:val="clear" w:color="auto" w:fill="E6E6E6"/>
          </w:tcPr>
          <w:p>
            <w:pPr>
              <w:spacing w:after="0"/>
              <w:rPr>
                <w:sz w:val="15"/>
                <w:szCs w:val="15"/>
                <w:color w:val="auto"/>
              </w:rPr>
            </w:pPr>
          </w:p>
        </w:tc>
        <w:tc>
          <w:tcPr>
            <w:tcW w:w="680" w:type="dxa"/>
            <w:vAlign w:val="bottom"/>
            <w:tcBorders>
              <w:right w:val="single" w:sz="8" w:color="2D53A6"/>
            </w:tcBorders>
            <w:shd w:val="clear" w:color="auto" w:fill="E6E6E6"/>
          </w:tcPr>
          <w:p>
            <w:pPr>
              <w:spacing w:after="0"/>
              <w:rPr>
                <w:sz w:val="15"/>
                <w:szCs w:val="15"/>
                <w:color w:val="auto"/>
              </w:rPr>
            </w:pPr>
          </w:p>
        </w:tc>
        <w:tc>
          <w:tcPr>
            <w:tcW w:w="700" w:type="dxa"/>
            <w:vAlign w:val="bottom"/>
            <w:tcBorders>
              <w:right w:val="single" w:sz="8" w:color="2D53A6"/>
            </w:tcBorders>
            <w:shd w:val="clear" w:color="auto" w:fill="E6E6E6"/>
          </w:tcPr>
          <w:p>
            <w:pPr>
              <w:spacing w:after="0"/>
              <w:rPr>
                <w:sz w:val="15"/>
                <w:szCs w:val="15"/>
                <w:color w:val="auto"/>
              </w:rPr>
            </w:pPr>
          </w:p>
        </w:tc>
        <w:tc>
          <w:tcPr>
            <w:tcW w:w="660" w:type="dxa"/>
            <w:vAlign w:val="bottom"/>
            <w:tcBorders>
              <w:right w:val="single" w:sz="8" w:color="2D53A6"/>
            </w:tcBorders>
            <w:shd w:val="clear" w:color="auto" w:fill="E6E6E6"/>
          </w:tcPr>
          <w:p>
            <w:pPr>
              <w:spacing w:after="0"/>
              <w:rPr>
                <w:sz w:val="15"/>
                <w:szCs w:val="15"/>
                <w:color w:val="auto"/>
              </w:rPr>
            </w:pPr>
          </w:p>
        </w:tc>
        <w:tc>
          <w:tcPr>
            <w:tcW w:w="700" w:type="dxa"/>
            <w:vAlign w:val="bottom"/>
            <w:tcBorders>
              <w:right w:val="single" w:sz="8" w:color="2D53A6"/>
            </w:tcBorders>
            <w:shd w:val="clear" w:color="auto" w:fill="E6E6E6"/>
          </w:tcPr>
          <w:p>
            <w:pPr>
              <w:spacing w:after="0"/>
              <w:rPr>
                <w:sz w:val="15"/>
                <w:szCs w:val="15"/>
                <w:color w:val="auto"/>
              </w:rPr>
            </w:pPr>
          </w:p>
        </w:tc>
        <w:tc>
          <w:tcPr>
            <w:tcW w:w="660" w:type="dxa"/>
            <w:vAlign w:val="bottom"/>
            <w:tcBorders>
              <w:right w:val="single" w:sz="8" w:color="2D53A6"/>
            </w:tcBorders>
            <w:shd w:val="clear" w:color="auto" w:fill="E6E6E6"/>
          </w:tcPr>
          <w:p>
            <w:pPr>
              <w:spacing w:after="0"/>
              <w:rPr>
                <w:sz w:val="15"/>
                <w:szCs w:val="15"/>
                <w:color w:val="auto"/>
              </w:rPr>
            </w:pPr>
          </w:p>
        </w:tc>
        <w:tc>
          <w:tcPr>
            <w:tcW w:w="80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40" w:type="dxa"/>
            <w:vAlign w:val="bottom"/>
            <w:tcBorders>
              <w:right w:val="single" w:sz="8" w:color="2D53A6"/>
            </w:tcBorders>
            <w:gridSpan w:val="2"/>
            <w:shd w:val="clear" w:color="auto" w:fill="E6E6E6"/>
          </w:tcPr>
          <w:p>
            <w:pPr>
              <w:spacing w:after="0" w:line="202" w:lineRule="exact"/>
              <w:rPr>
                <w:sz w:val="20"/>
                <w:szCs w:val="20"/>
                <w:color w:val="auto"/>
              </w:rPr>
            </w:pPr>
            <w:r>
              <w:rPr>
                <w:rFonts w:ascii="Arial" w:cs="Arial" w:eastAsia="Arial" w:hAnsi="Arial"/>
                <w:sz w:val="18"/>
                <w:szCs w:val="18"/>
                <w:color w:val="auto"/>
              </w:rPr>
              <w:t>current or former member of other public company boards in</w:t>
            </w:r>
          </w:p>
        </w:tc>
        <w:tc>
          <w:tcPr>
            <w:tcW w:w="7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4940" w:type="dxa"/>
            <w:vAlign w:val="bottom"/>
            <w:tcBorders>
              <w:right w:val="single" w:sz="8" w:color="2D53A6"/>
            </w:tcBorders>
            <w:gridSpan w:val="2"/>
            <w:vMerge w:val="restart"/>
            <w:shd w:val="clear" w:color="auto" w:fill="E6E6E6"/>
          </w:tcPr>
          <w:p>
            <w:pPr>
              <w:spacing w:after="0" w:line="202" w:lineRule="exact"/>
              <w:rPr>
                <w:sz w:val="20"/>
                <w:szCs w:val="20"/>
                <w:color w:val="auto"/>
              </w:rPr>
            </w:pPr>
            <w:r>
              <w:rPr>
                <w:rFonts w:ascii="Arial" w:cs="Arial" w:eastAsia="Arial" w:hAnsi="Arial"/>
                <w:sz w:val="18"/>
                <w:szCs w:val="18"/>
                <w:color w:val="auto"/>
              </w:rPr>
              <w:t>technology industries; experience with board governance</w:t>
            </w:r>
          </w:p>
        </w:tc>
        <w:tc>
          <w:tcPr>
            <w:tcW w:w="700" w:type="dxa"/>
            <w:vAlign w:val="bottom"/>
            <w:tcBorders>
              <w:right w:val="single" w:sz="8" w:color="2D53A6"/>
            </w:tcBorders>
            <w:vMerge w:val="continue"/>
            <w:shd w:val="clear" w:color="auto" w:fill="E6E6E6"/>
          </w:tcPr>
          <w:p>
            <w:pPr>
              <w:spacing w:after="0"/>
              <w:rPr>
                <w:sz w:val="11"/>
                <w:szCs w:val="11"/>
                <w:color w:val="auto"/>
              </w:rPr>
            </w:pPr>
          </w:p>
        </w:tc>
        <w:tc>
          <w:tcPr>
            <w:tcW w:w="700" w:type="dxa"/>
            <w:vAlign w:val="bottom"/>
            <w:tcBorders>
              <w:right w:val="single" w:sz="8" w:color="2D53A6"/>
            </w:tcBorders>
            <w:vMerge w:val="continue"/>
            <w:shd w:val="clear" w:color="auto" w:fill="E6E6E6"/>
          </w:tcPr>
          <w:p>
            <w:pPr>
              <w:spacing w:after="0"/>
              <w:rPr>
                <w:sz w:val="11"/>
                <w:szCs w:val="11"/>
                <w:color w:val="auto"/>
              </w:rPr>
            </w:pPr>
          </w:p>
        </w:tc>
        <w:tc>
          <w:tcPr>
            <w:tcW w:w="700" w:type="dxa"/>
            <w:vAlign w:val="bottom"/>
            <w:tcBorders>
              <w:right w:val="single" w:sz="8" w:color="2D53A6"/>
            </w:tcBorders>
            <w:vMerge w:val="continue"/>
            <w:shd w:val="clear" w:color="auto" w:fill="E6E6E6"/>
          </w:tcPr>
          <w:p>
            <w:pPr>
              <w:spacing w:after="0"/>
              <w:rPr>
                <w:sz w:val="11"/>
                <w:szCs w:val="11"/>
                <w:color w:val="auto"/>
              </w:rPr>
            </w:pPr>
          </w:p>
        </w:tc>
        <w:tc>
          <w:tcPr>
            <w:tcW w:w="680" w:type="dxa"/>
            <w:vAlign w:val="bottom"/>
            <w:tcBorders>
              <w:right w:val="single" w:sz="8" w:color="2D53A6"/>
            </w:tcBorders>
            <w:vMerge w:val="continue"/>
            <w:shd w:val="clear" w:color="auto" w:fill="E6E6E6"/>
          </w:tcPr>
          <w:p>
            <w:pPr>
              <w:spacing w:after="0"/>
              <w:rPr>
                <w:sz w:val="11"/>
                <w:szCs w:val="11"/>
                <w:color w:val="auto"/>
              </w:rPr>
            </w:pPr>
          </w:p>
        </w:tc>
        <w:tc>
          <w:tcPr>
            <w:tcW w:w="700" w:type="dxa"/>
            <w:vAlign w:val="bottom"/>
            <w:tcBorders>
              <w:right w:val="single" w:sz="8" w:color="2D53A6"/>
            </w:tcBorders>
            <w:vMerge w:val="continue"/>
            <w:shd w:val="clear" w:color="auto" w:fill="E6E6E6"/>
          </w:tcPr>
          <w:p>
            <w:pPr>
              <w:spacing w:after="0"/>
              <w:rPr>
                <w:sz w:val="11"/>
                <w:szCs w:val="11"/>
                <w:color w:val="auto"/>
              </w:rPr>
            </w:pPr>
          </w:p>
        </w:tc>
        <w:tc>
          <w:tcPr>
            <w:tcW w:w="660" w:type="dxa"/>
            <w:vAlign w:val="bottom"/>
            <w:tcBorders>
              <w:right w:val="single" w:sz="8" w:color="2D53A6"/>
            </w:tcBorders>
            <w:vMerge w:val="continue"/>
            <w:shd w:val="clear" w:color="auto" w:fill="E6E6E6"/>
          </w:tcPr>
          <w:p>
            <w:pPr>
              <w:spacing w:after="0"/>
              <w:rPr>
                <w:sz w:val="11"/>
                <w:szCs w:val="11"/>
                <w:color w:val="auto"/>
              </w:rPr>
            </w:pPr>
          </w:p>
        </w:tc>
        <w:tc>
          <w:tcPr>
            <w:tcW w:w="700" w:type="dxa"/>
            <w:vAlign w:val="bottom"/>
            <w:tcBorders>
              <w:right w:val="single" w:sz="8" w:color="2D53A6"/>
            </w:tcBorders>
            <w:vMerge w:val="continue"/>
            <w:shd w:val="clear" w:color="auto" w:fill="E6E6E6"/>
          </w:tcPr>
          <w:p>
            <w:pPr>
              <w:spacing w:after="0"/>
              <w:rPr>
                <w:sz w:val="11"/>
                <w:szCs w:val="11"/>
                <w:color w:val="auto"/>
              </w:rPr>
            </w:pPr>
          </w:p>
        </w:tc>
        <w:tc>
          <w:tcPr>
            <w:tcW w:w="660" w:type="dxa"/>
            <w:vAlign w:val="bottom"/>
            <w:tcBorders>
              <w:right w:val="single" w:sz="8" w:color="2D53A6"/>
            </w:tcBorders>
            <w:vMerge w:val="continue"/>
            <w:shd w:val="clear" w:color="auto" w:fill="E6E6E6"/>
          </w:tcPr>
          <w:p>
            <w:pPr>
              <w:spacing w:after="0"/>
              <w:rPr>
                <w:sz w:val="11"/>
                <w:szCs w:val="11"/>
                <w:color w:val="auto"/>
              </w:rPr>
            </w:pPr>
          </w:p>
        </w:tc>
        <w:tc>
          <w:tcPr>
            <w:tcW w:w="800" w:type="dxa"/>
            <w:vAlign w:val="bottom"/>
            <w:vMerge w:val="continue"/>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940" w:type="dxa"/>
            <w:vAlign w:val="bottom"/>
            <w:tcBorders>
              <w:right w:val="single" w:sz="8" w:color="2D53A6"/>
            </w:tcBorders>
            <w:gridSpan w:val="2"/>
            <w:vMerge w:val="continue"/>
            <w:shd w:val="clear" w:color="auto" w:fill="E6E6E6"/>
          </w:tcPr>
          <w:p>
            <w:pPr>
              <w:spacing w:after="0"/>
              <w:rPr>
                <w:sz w:val="6"/>
                <w:szCs w:val="6"/>
                <w:color w:val="auto"/>
              </w:rPr>
            </w:pPr>
          </w:p>
        </w:tc>
        <w:tc>
          <w:tcPr>
            <w:tcW w:w="700" w:type="dxa"/>
            <w:vAlign w:val="bottom"/>
            <w:tcBorders>
              <w:right w:val="single" w:sz="8" w:color="2D53A6"/>
            </w:tcBorders>
            <w:shd w:val="clear" w:color="auto" w:fill="E6E6E6"/>
          </w:tcPr>
          <w:p>
            <w:pPr>
              <w:spacing w:after="0"/>
              <w:rPr>
                <w:sz w:val="6"/>
                <w:szCs w:val="6"/>
                <w:color w:val="auto"/>
              </w:rPr>
            </w:pPr>
          </w:p>
        </w:tc>
        <w:tc>
          <w:tcPr>
            <w:tcW w:w="700" w:type="dxa"/>
            <w:vAlign w:val="bottom"/>
            <w:tcBorders>
              <w:right w:val="single" w:sz="8" w:color="2D53A6"/>
            </w:tcBorders>
            <w:shd w:val="clear" w:color="auto" w:fill="E6E6E6"/>
          </w:tcPr>
          <w:p>
            <w:pPr>
              <w:spacing w:after="0"/>
              <w:rPr>
                <w:sz w:val="6"/>
                <w:szCs w:val="6"/>
                <w:color w:val="auto"/>
              </w:rPr>
            </w:pPr>
          </w:p>
        </w:tc>
        <w:tc>
          <w:tcPr>
            <w:tcW w:w="700" w:type="dxa"/>
            <w:vAlign w:val="bottom"/>
            <w:tcBorders>
              <w:right w:val="single" w:sz="8" w:color="2D53A6"/>
            </w:tcBorders>
            <w:shd w:val="clear" w:color="auto" w:fill="E6E6E6"/>
          </w:tcPr>
          <w:p>
            <w:pPr>
              <w:spacing w:after="0"/>
              <w:rPr>
                <w:sz w:val="6"/>
                <w:szCs w:val="6"/>
                <w:color w:val="auto"/>
              </w:rPr>
            </w:pPr>
          </w:p>
        </w:tc>
        <w:tc>
          <w:tcPr>
            <w:tcW w:w="680" w:type="dxa"/>
            <w:vAlign w:val="bottom"/>
            <w:tcBorders>
              <w:right w:val="single" w:sz="8" w:color="2D53A6"/>
            </w:tcBorders>
            <w:shd w:val="clear" w:color="auto" w:fill="E6E6E6"/>
          </w:tcPr>
          <w:p>
            <w:pPr>
              <w:spacing w:after="0"/>
              <w:rPr>
                <w:sz w:val="6"/>
                <w:szCs w:val="6"/>
                <w:color w:val="auto"/>
              </w:rPr>
            </w:pPr>
          </w:p>
        </w:tc>
        <w:tc>
          <w:tcPr>
            <w:tcW w:w="700" w:type="dxa"/>
            <w:vAlign w:val="bottom"/>
            <w:tcBorders>
              <w:right w:val="single" w:sz="8" w:color="2D53A6"/>
            </w:tcBorders>
            <w:shd w:val="clear" w:color="auto" w:fill="E6E6E6"/>
          </w:tcPr>
          <w:p>
            <w:pPr>
              <w:spacing w:after="0"/>
              <w:rPr>
                <w:sz w:val="6"/>
                <w:szCs w:val="6"/>
                <w:color w:val="auto"/>
              </w:rPr>
            </w:pPr>
          </w:p>
        </w:tc>
        <w:tc>
          <w:tcPr>
            <w:tcW w:w="660" w:type="dxa"/>
            <w:vAlign w:val="bottom"/>
            <w:tcBorders>
              <w:right w:val="single" w:sz="8" w:color="2D53A6"/>
            </w:tcBorders>
            <w:shd w:val="clear" w:color="auto" w:fill="E6E6E6"/>
          </w:tcPr>
          <w:p>
            <w:pPr>
              <w:spacing w:after="0"/>
              <w:rPr>
                <w:sz w:val="6"/>
                <w:szCs w:val="6"/>
                <w:color w:val="auto"/>
              </w:rPr>
            </w:pPr>
          </w:p>
        </w:tc>
        <w:tc>
          <w:tcPr>
            <w:tcW w:w="700" w:type="dxa"/>
            <w:vAlign w:val="bottom"/>
            <w:tcBorders>
              <w:right w:val="single" w:sz="8" w:color="2D53A6"/>
            </w:tcBorders>
            <w:shd w:val="clear" w:color="auto" w:fill="E6E6E6"/>
          </w:tcPr>
          <w:p>
            <w:pPr>
              <w:spacing w:after="0"/>
              <w:rPr>
                <w:sz w:val="6"/>
                <w:szCs w:val="6"/>
                <w:color w:val="auto"/>
              </w:rPr>
            </w:pPr>
          </w:p>
        </w:tc>
        <w:tc>
          <w:tcPr>
            <w:tcW w:w="660" w:type="dxa"/>
            <w:vAlign w:val="bottom"/>
            <w:tcBorders>
              <w:right w:val="single" w:sz="8" w:color="2D53A6"/>
            </w:tcBorders>
            <w:shd w:val="clear" w:color="auto" w:fill="E6E6E6"/>
          </w:tcPr>
          <w:p>
            <w:pPr>
              <w:spacing w:after="0"/>
              <w:rPr>
                <w:sz w:val="6"/>
                <w:szCs w:val="6"/>
                <w:color w:val="auto"/>
              </w:rPr>
            </w:pPr>
          </w:p>
        </w:tc>
        <w:tc>
          <w:tcPr>
            <w:tcW w:w="80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4940" w:type="dxa"/>
            <w:vAlign w:val="bottom"/>
            <w:tcBorders>
              <w:bottom w:val="single" w:sz="8" w:color="2D53A6"/>
              <w:right w:val="single" w:sz="8" w:color="2D53A6"/>
            </w:tcBorders>
            <w:gridSpan w:val="2"/>
            <w:shd w:val="clear" w:color="auto" w:fill="E6E6E6"/>
          </w:tcPr>
          <w:p>
            <w:pPr>
              <w:spacing w:after="0"/>
              <w:rPr>
                <w:sz w:val="20"/>
                <w:szCs w:val="20"/>
                <w:color w:val="auto"/>
              </w:rPr>
            </w:pPr>
            <w:r>
              <w:rPr>
                <w:rFonts w:ascii="Arial" w:cs="Arial" w:eastAsia="Arial" w:hAnsi="Arial"/>
                <w:sz w:val="18"/>
                <w:szCs w:val="18"/>
                <w:color w:val="auto"/>
              </w:rPr>
              <w:t>requirements and practices</w:t>
            </w:r>
          </w:p>
        </w:tc>
        <w:tc>
          <w:tcPr>
            <w:tcW w:w="700" w:type="dxa"/>
            <w:vAlign w:val="bottom"/>
            <w:tcBorders>
              <w:bottom w:val="single" w:sz="8" w:color="2D53A6"/>
              <w:right w:val="single" w:sz="8" w:color="2D53A6"/>
            </w:tcBorders>
            <w:shd w:val="clear" w:color="auto" w:fill="E6E6E6"/>
          </w:tcPr>
          <w:p>
            <w:pPr>
              <w:spacing w:after="0"/>
              <w:rPr>
                <w:sz w:val="19"/>
                <w:szCs w:val="19"/>
                <w:color w:val="auto"/>
              </w:rPr>
            </w:pPr>
          </w:p>
        </w:tc>
        <w:tc>
          <w:tcPr>
            <w:tcW w:w="700" w:type="dxa"/>
            <w:vAlign w:val="bottom"/>
            <w:tcBorders>
              <w:bottom w:val="single" w:sz="8" w:color="2D53A6"/>
              <w:right w:val="single" w:sz="8" w:color="2D53A6"/>
            </w:tcBorders>
            <w:shd w:val="clear" w:color="auto" w:fill="E6E6E6"/>
          </w:tcPr>
          <w:p>
            <w:pPr>
              <w:spacing w:after="0"/>
              <w:rPr>
                <w:sz w:val="19"/>
                <w:szCs w:val="19"/>
                <w:color w:val="auto"/>
              </w:rPr>
            </w:pPr>
          </w:p>
        </w:tc>
        <w:tc>
          <w:tcPr>
            <w:tcW w:w="700" w:type="dxa"/>
            <w:vAlign w:val="bottom"/>
            <w:tcBorders>
              <w:bottom w:val="single" w:sz="8" w:color="2D53A6"/>
              <w:right w:val="single" w:sz="8" w:color="2D53A6"/>
            </w:tcBorders>
            <w:shd w:val="clear" w:color="auto" w:fill="E6E6E6"/>
          </w:tcPr>
          <w:p>
            <w:pPr>
              <w:spacing w:after="0"/>
              <w:rPr>
                <w:sz w:val="19"/>
                <w:szCs w:val="19"/>
                <w:color w:val="auto"/>
              </w:rPr>
            </w:pPr>
          </w:p>
        </w:tc>
        <w:tc>
          <w:tcPr>
            <w:tcW w:w="680" w:type="dxa"/>
            <w:vAlign w:val="bottom"/>
            <w:tcBorders>
              <w:bottom w:val="single" w:sz="8" w:color="2D53A6"/>
              <w:right w:val="single" w:sz="8" w:color="2D53A6"/>
            </w:tcBorders>
            <w:shd w:val="clear" w:color="auto" w:fill="E6E6E6"/>
          </w:tcPr>
          <w:p>
            <w:pPr>
              <w:spacing w:after="0"/>
              <w:rPr>
                <w:sz w:val="19"/>
                <w:szCs w:val="19"/>
                <w:color w:val="auto"/>
              </w:rPr>
            </w:pPr>
          </w:p>
        </w:tc>
        <w:tc>
          <w:tcPr>
            <w:tcW w:w="700" w:type="dxa"/>
            <w:vAlign w:val="bottom"/>
            <w:tcBorders>
              <w:bottom w:val="single" w:sz="8" w:color="2D53A6"/>
              <w:right w:val="single" w:sz="8" w:color="2D53A6"/>
            </w:tcBorders>
            <w:shd w:val="clear" w:color="auto" w:fill="E6E6E6"/>
          </w:tcPr>
          <w:p>
            <w:pPr>
              <w:spacing w:after="0"/>
              <w:rPr>
                <w:sz w:val="19"/>
                <w:szCs w:val="19"/>
                <w:color w:val="auto"/>
              </w:rPr>
            </w:pPr>
          </w:p>
        </w:tc>
        <w:tc>
          <w:tcPr>
            <w:tcW w:w="660" w:type="dxa"/>
            <w:vAlign w:val="bottom"/>
            <w:tcBorders>
              <w:bottom w:val="single" w:sz="8" w:color="2D53A6"/>
              <w:right w:val="single" w:sz="8" w:color="2D53A6"/>
            </w:tcBorders>
            <w:shd w:val="clear" w:color="auto" w:fill="E6E6E6"/>
          </w:tcPr>
          <w:p>
            <w:pPr>
              <w:spacing w:after="0"/>
              <w:rPr>
                <w:sz w:val="19"/>
                <w:szCs w:val="19"/>
                <w:color w:val="auto"/>
              </w:rPr>
            </w:pPr>
          </w:p>
        </w:tc>
        <w:tc>
          <w:tcPr>
            <w:tcW w:w="700" w:type="dxa"/>
            <w:vAlign w:val="bottom"/>
            <w:tcBorders>
              <w:bottom w:val="single" w:sz="8" w:color="2D53A6"/>
              <w:right w:val="single" w:sz="8" w:color="2D53A6"/>
            </w:tcBorders>
            <w:shd w:val="clear" w:color="auto" w:fill="E6E6E6"/>
          </w:tcPr>
          <w:p>
            <w:pPr>
              <w:spacing w:after="0"/>
              <w:rPr>
                <w:sz w:val="19"/>
                <w:szCs w:val="19"/>
                <w:color w:val="auto"/>
              </w:rPr>
            </w:pPr>
          </w:p>
        </w:tc>
        <w:tc>
          <w:tcPr>
            <w:tcW w:w="660" w:type="dxa"/>
            <w:vAlign w:val="bottom"/>
            <w:tcBorders>
              <w:bottom w:val="single" w:sz="8" w:color="2D53A6"/>
              <w:right w:val="single" w:sz="8" w:color="2D53A6"/>
            </w:tcBorders>
            <w:shd w:val="clear" w:color="auto" w:fill="E6E6E6"/>
          </w:tcPr>
          <w:p>
            <w:pPr>
              <w:spacing w:after="0"/>
              <w:rPr>
                <w:sz w:val="19"/>
                <w:szCs w:val="19"/>
                <w:color w:val="auto"/>
              </w:rPr>
            </w:pPr>
          </w:p>
        </w:tc>
        <w:tc>
          <w:tcPr>
            <w:tcW w:w="800" w:type="dxa"/>
            <w:vAlign w:val="bottom"/>
            <w:tcBorders>
              <w:bottom w:val="single" w:sz="8" w:color="2D53A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940" w:type="dxa"/>
            <w:vAlign w:val="bottom"/>
            <w:tcBorders>
              <w:right w:val="single" w:sz="8" w:color="2D53A6"/>
            </w:tcBorders>
            <w:gridSpan w:val="2"/>
          </w:tcPr>
          <w:p>
            <w:pPr>
              <w:spacing w:after="0" w:line="177" w:lineRule="exact"/>
              <w:rPr>
                <w:sz w:val="20"/>
                <w:szCs w:val="20"/>
                <w:color w:val="auto"/>
              </w:rPr>
            </w:pPr>
            <w:r>
              <w:rPr>
                <w:rFonts w:ascii="Arial" w:cs="Arial" w:eastAsia="Arial" w:hAnsi="Arial"/>
                <w:sz w:val="18"/>
                <w:szCs w:val="18"/>
                <w:b w:val="1"/>
                <w:bCs w:val="1"/>
                <w:color w:val="auto"/>
              </w:rPr>
              <w:t xml:space="preserve">Leadership Experience </w:t>
            </w:r>
            <w:r>
              <w:rPr>
                <w:rFonts w:ascii="Arial" w:cs="Arial" w:eastAsia="Arial" w:hAnsi="Arial"/>
                <w:sz w:val="18"/>
                <w:szCs w:val="18"/>
                <w:color w:val="auto"/>
              </w:rPr>
              <w:t>– Experience as a current or former</w:t>
            </w:r>
          </w:p>
        </w:tc>
        <w:tc>
          <w:tcPr>
            <w:tcW w:w="700" w:type="dxa"/>
            <w:vAlign w:val="bottom"/>
            <w:tcBorders>
              <w:right w:val="single" w:sz="8" w:color="2D53A6"/>
            </w:tcBorders>
          </w:tcPr>
          <w:p>
            <w:pPr>
              <w:spacing w:after="0"/>
              <w:rPr>
                <w:sz w:val="15"/>
                <w:szCs w:val="15"/>
                <w:color w:val="auto"/>
              </w:rPr>
            </w:pPr>
          </w:p>
        </w:tc>
        <w:tc>
          <w:tcPr>
            <w:tcW w:w="700" w:type="dxa"/>
            <w:vAlign w:val="bottom"/>
            <w:tcBorders>
              <w:right w:val="single" w:sz="8" w:color="2D53A6"/>
            </w:tcBorders>
          </w:tcPr>
          <w:p>
            <w:pPr>
              <w:spacing w:after="0"/>
              <w:rPr>
                <w:sz w:val="15"/>
                <w:szCs w:val="15"/>
                <w:color w:val="auto"/>
              </w:rPr>
            </w:pPr>
          </w:p>
        </w:tc>
        <w:tc>
          <w:tcPr>
            <w:tcW w:w="700" w:type="dxa"/>
            <w:vAlign w:val="bottom"/>
            <w:tcBorders>
              <w:right w:val="single" w:sz="8" w:color="2D53A6"/>
            </w:tcBorders>
          </w:tcPr>
          <w:p>
            <w:pPr>
              <w:spacing w:after="0"/>
              <w:rPr>
                <w:sz w:val="15"/>
                <w:szCs w:val="15"/>
                <w:color w:val="auto"/>
              </w:rPr>
            </w:pPr>
          </w:p>
        </w:tc>
        <w:tc>
          <w:tcPr>
            <w:tcW w:w="680" w:type="dxa"/>
            <w:vAlign w:val="bottom"/>
            <w:tcBorders>
              <w:right w:val="single" w:sz="8" w:color="2D53A6"/>
            </w:tcBorders>
          </w:tcPr>
          <w:p>
            <w:pPr>
              <w:spacing w:after="0"/>
              <w:rPr>
                <w:sz w:val="15"/>
                <w:szCs w:val="15"/>
                <w:color w:val="auto"/>
              </w:rPr>
            </w:pPr>
          </w:p>
        </w:tc>
        <w:tc>
          <w:tcPr>
            <w:tcW w:w="700" w:type="dxa"/>
            <w:vAlign w:val="bottom"/>
            <w:tcBorders>
              <w:right w:val="single" w:sz="8" w:color="2D53A6"/>
            </w:tcBorders>
          </w:tcPr>
          <w:p>
            <w:pPr>
              <w:spacing w:after="0"/>
              <w:rPr>
                <w:sz w:val="15"/>
                <w:szCs w:val="15"/>
                <w:color w:val="auto"/>
              </w:rPr>
            </w:pPr>
          </w:p>
        </w:tc>
        <w:tc>
          <w:tcPr>
            <w:tcW w:w="660" w:type="dxa"/>
            <w:vAlign w:val="bottom"/>
            <w:tcBorders>
              <w:right w:val="single" w:sz="8" w:color="2D53A6"/>
            </w:tcBorders>
          </w:tcPr>
          <w:p>
            <w:pPr>
              <w:spacing w:after="0"/>
              <w:rPr>
                <w:sz w:val="15"/>
                <w:szCs w:val="15"/>
                <w:color w:val="auto"/>
              </w:rPr>
            </w:pPr>
          </w:p>
        </w:tc>
        <w:tc>
          <w:tcPr>
            <w:tcW w:w="700" w:type="dxa"/>
            <w:vAlign w:val="bottom"/>
            <w:tcBorders>
              <w:right w:val="single" w:sz="8" w:color="2D53A6"/>
            </w:tcBorders>
          </w:tcPr>
          <w:p>
            <w:pPr>
              <w:spacing w:after="0"/>
              <w:rPr>
                <w:sz w:val="15"/>
                <w:szCs w:val="15"/>
                <w:color w:val="auto"/>
              </w:rPr>
            </w:pPr>
          </w:p>
        </w:tc>
        <w:tc>
          <w:tcPr>
            <w:tcW w:w="660" w:type="dxa"/>
            <w:vAlign w:val="bottom"/>
            <w:tcBorders>
              <w:right w:val="single" w:sz="8" w:color="2D53A6"/>
            </w:tcBorders>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40" w:type="dxa"/>
            <w:vAlign w:val="bottom"/>
            <w:tcBorders>
              <w:right w:val="single" w:sz="8" w:color="2D53A6"/>
            </w:tcBorders>
            <w:gridSpan w:val="2"/>
          </w:tcPr>
          <w:p>
            <w:pPr>
              <w:spacing w:after="0" w:line="202" w:lineRule="exact"/>
              <w:rPr>
                <w:sz w:val="20"/>
                <w:szCs w:val="20"/>
                <w:color w:val="auto"/>
              </w:rPr>
            </w:pPr>
            <w:r>
              <w:rPr>
                <w:rFonts w:ascii="Arial" w:cs="Arial" w:eastAsia="Arial" w:hAnsi="Arial"/>
                <w:sz w:val="18"/>
                <w:szCs w:val="18"/>
                <w:color w:val="auto"/>
              </w:rPr>
              <w:t>chief executive officer (“CEO”), president, chief financial</w:t>
            </w:r>
          </w:p>
        </w:tc>
        <w:tc>
          <w:tcPr>
            <w:tcW w:w="70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4940" w:type="dxa"/>
            <w:vAlign w:val="bottom"/>
            <w:tcBorders>
              <w:right w:val="single" w:sz="8" w:color="2D53A6"/>
            </w:tcBorders>
            <w:gridSpan w:val="2"/>
            <w:vMerge w:val="restart"/>
          </w:tcPr>
          <w:p>
            <w:pPr>
              <w:spacing w:after="0" w:line="202" w:lineRule="exact"/>
              <w:rPr>
                <w:sz w:val="20"/>
                <w:szCs w:val="20"/>
                <w:color w:val="auto"/>
              </w:rPr>
            </w:pPr>
            <w:r>
              <w:rPr>
                <w:rFonts w:ascii="Arial" w:cs="Arial" w:eastAsia="Arial" w:hAnsi="Arial"/>
                <w:sz w:val="18"/>
                <w:szCs w:val="18"/>
                <w:color w:val="auto"/>
              </w:rPr>
              <w:t>officer (“CFO”), chief operating officer and/or general</w:t>
            </w:r>
          </w:p>
        </w:tc>
        <w:tc>
          <w:tcPr>
            <w:tcW w:w="700" w:type="dxa"/>
            <w:vAlign w:val="bottom"/>
            <w:tcBorders>
              <w:right w:val="single" w:sz="8" w:color="2D53A6"/>
            </w:tcBorders>
            <w:vMerge w:val="continue"/>
          </w:tcPr>
          <w:p>
            <w:pPr>
              <w:spacing w:after="0"/>
              <w:rPr>
                <w:sz w:val="11"/>
                <w:szCs w:val="11"/>
                <w:color w:val="auto"/>
              </w:rPr>
            </w:pPr>
          </w:p>
        </w:tc>
        <w:tc>
          <w:tcPr>
            <w:tcW w:w="700" w:type="dxa"/>
            <w:vAlign w:val="bottom"/>
            <w:tcBorders>
              <w:right w:val="single" w:sz="8" w:color="2D53A6"/>
            </w:tcBorders>
            <w:vMerge w:val="continue"/>
          </w:tcPr>
          <w:p>
            <w:pPr>
              <w:spacing w:after="0"/>
              <w:rPr>
                <w:sz w:val="11"/>
                <w:szCs w:val="11"/>
                <w:color w:val="auto"/>
              </w:rPr>
            </w:pPr>
          </w:p>
        </w:tc>
        <w:tc>
          <w:tcPr>
            <w:tcW w:w="700" w:type="dxa"/>
            <w:vAlign w:val="bottom"/>
            <w:tcBorders>
              <w:right w:val="single" w:sz="8" w:color="2D53A6"/>
            </w:tcBorders>
            <w:vMerge w:val="continue"/>
          </w:tcPr>
          <w:p>
            <w:pPr>
              <w:spacing w:after="0"/>
              <w:rPr>
                <w:sz w:val="11"/>
                <w:szCs w:val="11"/>
                <w:color w:val="auto"/>
              </w:rPr>
            </w:pPr>
          </w:p>
        </w:tc>
        <w:tc>
          <w:tcPr>
            <w:tcW w:w="680" w:type="dxa"/>
            <w:vAlign w:val="bottom"/>
            <w:tcBorders>
              <w:right w:val="single" w:sz="8" w:color="2D53A6"/>
            </w:tcBorders>
            <w:vMerge w:val="continue"/>
          </w:tcPr>
          <w:p>
            <w:pPr>
              <w:spacing w:after="0"/>
              <w:rPr>
                <w:sz w:val="11"/>
                <w:szCs w:val="11"/>
                <w:color w:val="auto"/>
              </w:rPr>
            </w:pPr>
          </w:p>
        </w:tc>
        <w:tc>
          <w:tcPr>
            <w:tcW w:w="700" w:type="dxa"/>
            <w:vAlign w:val="bottom"/>
            <w:tcBorders>
              <w:right w:val="single" w:sz="8" w:color="2D53A6"/>
            </w:tcBorders>
            <w:vMerge w:val="continue"/>
          </w:tcPr>
          <w:p>
            <w:pPr>
              <w:spacing w:after="0"/>
              <w:rPr>
                <w:sz w:val="11"/>
                <w:szCs w:val="11"/>
                <w:color w:val="auto"/>
              </w:rPr>
            </w:pPr>
          </w:p>
        </w:tc>
        <w:tc>
          <w:tcPr>
            <w:tcW w:w="660" w:type="dxa"/>
            <w:vAlign w:val="bottom"/>
            <w:tcBorders>
              <w:right w:val="single" w:sz="8" w:color="2D53A6"/>
            </w:tcBorders>
            <w:vMerge w:val="continue"/>
          </w:tcPr>
          <w:p>
            <w:pPr>
              <w:spacing w:after="0"/>
              <w:rPr>
                <w:sz w:val="11"/>
                <w:szCs w:val="11"/>
                <w:color w:val="auto"/>
              </w:rPr>
            </w:pPr>
          </w:p>
        </w:tc>
        <w:tc>
          <w:tcPr>
            <w:tcW w:w="700" w:type="dxa"/>
            <w:vAlign w:val="bottom"/>
            <w:tcBorders>
              <w:right w:val="single" w:sz="8" w:color="2D53A6"/>
            </w:tcBorders>
            <w:vMerge w:val="continue"/>
          </w:tcPr>
          <w:p>
            <w:pPr>
              <w:spacing w:after="0"/>
              <w:rPr>
                <w:sz w:val="11"/>
                <w:szCs w:val="11"/>
                <w:color w:val="auto"/>
              </w:rPr>
            </w:pPr>
          </w:p>
        </w:tc>
        <w:tc>
          <w:tcPr>
            <w:tcW w:w="660" w:type="dxa"/>
            <w:vAlign w:val="bottom"/>
            <w:tcBorders>
              <w:right w:val="single" w:sz="8" w:color="2D53A6"/>
            </w:tcBorders>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940" w:type="dxa"/>
            <w:vAlign w:val="bottom"/>
            <w:tcBorders>
              <w:right w:val="single" w:sz="8" w:color="2D53A6"/>
            </w:tcBorders>
            <w:gridSpan w:val="2"/>
            <w:vMerge w:val="continue"/>
          </w:tcPr>
          <w:p>
            <w:pPr>
              <w:spacing w:after="0"/>
              <w:rPr>
                <w:sz w:val="6"/>
                <w:szCs w:val="6"/>
                <w:color w:val="auto"/>
              </w:rPr>
            </w:pPr>
          </w:p>
        </w:tc>
        <w:tc>
          <w:tcPr>
            <w:tcW w:w="700" w:type="dxa"/>
            <w:vAlign w:val="bottom"/>
            <w:tcBorders>
              <w:right w:val="single" w:sz="8" w:color="2D53A6"/>
            </w:tcBorders>
          </w:tcPr>
          <w:p>
            <w:pPr>
              <w:spacing w:after="0"/>
              <w:rPr>
                <w:sz w:val="6"/>
                <w:szCs w:val="6"/>
                <w:color w:val="auto"/>
              </w:rPr>
            </w:pPr>
          </w:p>
        </w:tc>
        <w:tc>
          <w:tcPr>
            <w:tcW w:w="700" w:type="dxa"/>
            <w:vAlign w:val="bottom"/>
            <w:tcBorders>
              <w:right w:val="single" w:sz="8" w:color="2D53A6"/>
            </w:tcBorders>
          </w:tcPr>
          <w:p>
            <w:pPr>
              <w:spacing w:after="0"/>
              <w:rPr>
                <w:sz w:val="6"/>
                <w:szCs w:val="6"/>
                <w:color w:val="auto"/>
              </w:rPr>
            </w:pPr>
          </w:p>
        </w:tc>
        <w:tc>
          <w:tcPr>
            <w:tcW w:w="700" w:type="dxa"/>
            <w:vAlign w:val="bottom"/>
            <w:tcBorders>
              <w:right w:val="single" w:sz="8" w:color="2D53A6"/>
            </w:tcBorders>
          </w:tcPr>
          <w:p>
            <w:pPr>
              <w:spacing w:after="0"/>
              <w:rPr>
                <w:sz w:val="6"/>
                <w:szCs w:val="6"/>
                <w:color w:val="auto"/>
              </w:rPr>
            </w:pPr>
          </w:p>
        </w:tc>
        <w:tc>
          <w:tcPr>
            <w:tcW w:w="680" w:type="dxa"/>
            <w:vAlign w:val="bottom"/>
            <w:tcBorders>
              <w:right w:val="single" w:sz="8" w:color="2D53A6"/>
            </w:tcBorders>
          </w:tcPr>
          <w:p>
            <w:pPr>
              <w:spacing w:after="0"/>
              <w:rPr>
                <w:sz w:val="6"/>
                <w:szCs w:val="6"/>
                <w:color w:val="auto"/>
              </w:rPr>
            </w:pPr>
          </w:p>
        </w:tc>
        <w:tc>
          <w:tcPr>
            <w:tcW w:w="700" w:type="dxa"/>
            <w:vAlign w:val="bottom"/>
            <w:tcBorders>
              <w:right w:val="single" w:sz="8" w:color="2D53A6"/>
            </w:tcBorders>
          </w:tcPr>
          <w:p>
            <w:pPr>
              <w:spacing w:after="0"/>
              <w:rPr>
                <w:sz w:val="6"/>
                <w:szCs w:val="6"/>
                <w:color w:val="auto"/>
              </w:rPr>
            </w:pPr>
          </w:p>
        </w:tc>
        <w:tc>
          <w:tcPr>
            <w:tcW w:w="660" w:type="dxa"/>
            <w:vAlign w:val="bottom"/>
            <w:tcBorders>
              <w:right w:val="single" w:sz="8" w:color="2D53A6"/>
            </w:tcBorders>
          </w:tcPr>
          <w:p>
            <w:pPr>
              <w:spacing w:after="0"/>
              <w:rPr>
                <w:sz w:val="6"/>
                <w:szCs w:val="6"/>
                <w:color w:val="auto"/>
              </w:rPr>
            </w:pPr>
          </w:p>
        </w:tc>
        <w:tc>
          <w:tcPr>
            <w:tcW w:w="700" w:type="dxa"/>
            <w:vAlign w:val="bottom"/>
            <w:tcBorders>
              <w:right w:val="single" w:sz="8" w:color="2D53A6"/>
            </w:tcBorders>
          </w:tcPr>
          <w:p>
            <w:pPr>
              <w:spacing w:after="0"/>
              <w:rPr>
                <w:sz w:val="6"/>
                <w:szCs w:val="6"/>
                <w:color w:val="auto"/>
              </w:rPr>
            </w:pPr>
          </w:p>
        </w:tc>
        <w:tc>
          <w:tcPr>
            <w:tcW w:w="660" w:type="dxa"/>
            <w:vAlign w:val="bottom"/>
            <w:tcBorders>
              <w:right w:val="single" w:sz="8" w:color="2D53A6"/>
            </w:tcBorders>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4940" w:type="dxa"/>
            <w:vAlign w:val="bottom"/>
            <w:tcBorders>
              <w:bottom w:val="single" w:sz="8" w:color="2D53A6"/>
              <w:right w:val="single" w:sz="8" w:color="2D53A6"/>
            </w:tcBorders>
            <w:gridSpan w:val="2"/>
          </w:tcPr>
          <w:p>
            <w:pPr>
              <w:spacing w:after="0"/>
              <w:rPr>
                <w:sz w:val="20"/>
                <w:szCs w:val="20"/>
                <w:color w:val="auto"/>
              </w:rPr>
            </w:pPr>
            <w:r>
              <w:rPr>
                <w:rFonts w:ascii="Arial" w:cs="Arial" w:eastAsia="Arial" w:hAnsi="Arial"/>
                <w:sz w:val="18"/>
                <w:szCs w:val="18"/>
                <w:color w:val="auto"/>
              </w:rPr>
              <w:t>manager of a significant business</w:t>
            </w:r>
          </w:p>
        </w:tc>
        <w:tc>
          <w:tcPr>
            <w:tcW w:w="700" w:type="dxa"/>
            <w:vAlign w:val="bottom"/>
            <w:tcBorders>
              <w:bottom w:val="single" w:sz="8" w:color="2D53A6"/>
              <w:right w:val="single" w:sz="8" w:color="2D53A6"/>
            </w:tcBorders>
          </w:tcPr>
          <w:p>
            <w:pPr>
              <w:spacing w:after="0"/>
              <w:rPr>
                <w:sz w:val="19"/>
                <w:szCs w:val="19"/>
                <w:color w:val="auto"/>
              </w:rPr>
            </w:pPr>
          </w:p>
        </w:tc>
        <w:tc>
          <w:tcPr>
            <w:tcW w:w="700" w:type="dxa"/>
            <w:vAlign w:val="bottom"/>
            <w:tcBorders>
              <w:bottom w:val="single" w:sz="8" w:color="2D53A6"/>
              <w:right w:val="single" w:sz="8" w:color="2D53A6"/>
            </w:tcBorders>
          </w:tcPr>
          <w:p>
            <w:pPr>
              <w:spacing w:after="0"/>
              <w:rPr>
                <w:sz w:val="19"/>
                <w:szCs w:val="19"/>
                <w:color w:val="auto"/>
              </w:rPr>
            </w:pPr>
          </w:p>
        </w:tc>
        <w:tc>
          <w:tcPr>
            <w:tcW w:w="700" w:type="dxa"/>
            <w:vAlign w:val="bottom"/>
            <w:tcBorders>
              <w:bottom w:val="single" w:sz="8" w:color="2D53A6"/>
              <w:right w:val="single" w:sz="8" w:color="2D53A6"/>
            </w:tcBorders>
          </w:tcPr>
          <w:p>
            <w:pPr>
              <w:spacing w:after="0"/>
              <w:rPr>
                <w:sz w:val="19"/>
                <w:szCs w:val="19"/>
                <w:color w:val="auto"/>
              </w:rPr>
            </w:pPr>
          </w:p>
        </w:tc>
        <w:tc>
          <w:tcPr>
            <w:tcW w:w="680" w:type="dxa"/>
            <w:vAlign w:val="bottom"/>
            <w:tcBorders>
              <w:bottom w:val="single" w:sz="8" w:color="2D53A6"/>
              <w:right w:val="single" w:sz="8" w:color="2D53A6"/>
            </w:tcBorders>
          </w:tcPr>
          <w:p>
            <w:pPr>
              <w:spacing w:after="0"/>
              <w:rPr>
                <w:sz w:val="19"/>
                <w:szCs w:val="19"/>
                <w:color w:val="auto"/>
              </w:rPr>
            </w:pPr>
          </w:p>
        </w:tc>
        <w:tc>
          <w:tcPr>
            <w:tcW w:w="700" w:type="dxa"/>
            <w:vAlign w:val="bottom"/>
            <w:tcBorders>
              <w:bottom w:val="single" w:sz="8" w:color="2D53A6"/>
              <w:right w:val="single" w:sz="8" w:color="2D53A6"/>
            </w:tcBorders>
          </w:tcPr>
          <w:p>
            <w:pPr>
              <w:spacing w:after="0"/>
              <w:rPr>
                <w:sz w:val="19"/>
                <w:szCs w:val="19"/>
                <w:color w:val="auto"/>
              </w:rPr>
            </w:pPr>
          </w:p>
        </w:tc>
        <w:tc>
          <w:tcPr>
            <w:tcW w:w="660" w:type="dxa"/>
            <w:vAlign w:val="bottom"/>
            <w:tcBorders>
              <w:bottom w:val="single" w:sz="8" w:color="2D53A6"/>
              <w:right w:val="single" w:sz="8" w:color="2D53A6"/>
            </w:tcBorders>
          </w:tcPr>
          <w:p>
            <w:pPr>
              <w:spacing w:after="0"/>
              <w:rPr>
                <w:sz w:val="19"/>
                <w:szCs w:val="19"/>
                <w:color w:val="auto"/>
              </w:rPr>
            </w:pPr>
          </w:p>
        </w:tc>
        <w:tc>
          <w:tcPr>
            <w:tcW w:w="700" w:type="dxa"/>
            <w:vAlign w:val="bottom"/>
            <w:tcBorders>
              <w:bottom w:val="single" w:sz="8" w:color="2D53A6"/>
              <w:right w:val="single" w:sz="8" w:color="2D53A6"/>
            </w:tcBorders>
          </w:tcPr>
          <w:p>
            <w:pPr>
              <w:spacing w:after="0"/>
              <w:rPr>
                <w:sz w:val="19"/>
                <w:szCs w:val="19"/>
                <w:color w:val="auto"/>
              </w:rPr>
            </w:pPr>
          </w:p>
        </w:tc>
        <w:tc>
          <w:tcPr>
            <w:tcW w:w="660" w:type="dxa"/>
            <w:vAlign w:val="bottom"/>
            <w:tcBorders>
              <w:bottom w:val="single" w:sz="8" w:color="2D53A6"/>
              <w:right w:val="single" w:sz="8" w:color="2D53A6"/>
            </w:tcBorders>
          </w:tcPr>
          <w:p>
            <w:pPr>
              <w:spacing w:after="0"/>
              <w:rPr>
                <w:sz w:val="19"/>
                <w:szCs w:val="19"/>
                <w:color w:val="auto"/>
              </w:rPr>
            </w:pPr>
          </w:p>
        </w:tc>
        <w:tc>
          <w:tcPr>
            <w:tcW w:w="800" w:type="dxa"/>
            <w:vAlign w:val="bottom"/>
            <w:tcBorders>
              <w:bottom w:val="single" w:sz="8" w:color="2D53A6"/>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940" w:type="dxa"/>
            <w:vAlign w:val="bottom"/>
            <w:tcBorders>
              <w:right w:val="single" w:sz="8" w:color="2D53A6"/>
            </w:tcBorders>
            <w:gridSpan w:val="2"/>
            <w:shd w:val="clear" w:color="auto" w:fill="E6E6E6"/>
          </w:tcPr>
          <w:p>
            <w:pPr>
              <w:spacing w:after="0" w:line="177" w:lineRule="exact"/>
              <w:rPr>
                <w:sz w:val="20"/>
                <w:szCs w:val="20"/>
                <w:color w:val="auto"/>
              </w:rPr>
            </w:pPr>
            <w:r>
              <w:rPr>
                <w:rFonts w:ascii="Arial" w:cs="Arial" w:eastAsia="Arial" w:hAnsi="Arial"/>
                <w:sz w:val="18"/>
                <w:szCs w:val="18"/>
                <w:b w:val="1"/>
                <w:bCs w:val="1"/>
                <w:color w:val="auto"/>
              </w:rPr>
              <w:t xml:space="preserve">Customer/Deep Technology Knowledge </w:t>
            </w:r>
            <w:r>
              <w:rPr>
                <w:rFonts w:ascii="Arial" w:cs="Arial" w:eastAsia="Arial" w:hAnsi="Arial"/>
                <w:sz w:val="18"/>
                <w:szCs w:val="18"/>
                <w:color w:val="auto"/>
              </w:rPr>
              <w:t>– Deep</w:t>
            </w:r>
          </w:p>
        </w:tc>
        <w:tc>
          <w:tcPr>
            <w:tcW w:w="700" w:type="dxa"/>
            <w:vAlign w:val="bottom"/>
            <w:tcBorders>
              <w:right w:val="single" w:sz="8" w:color="2D53A6"/>
            </w:tcBorders>
            <w:shd w:val="clear" w:color="auto" w:fill="E6E6E6"/>
          </w:tcPr>
          <w:p>
            <w:pPr>
              <w:spacing w:after="0"/>
              <w:rPr>
                <w:sz w:val="15"/>
                <w:szCs w:val="15"/>
                <w:color w:val="auto"/>
              </w:rPr>
            </w:pPr>
          </w:p>
        </w:tc>
        <w:tc>
          <w:tcPr>
            <w:tcW w:w="700" w:type="dxa"/>
            <w:vAlign w:val="bottom"/>
            <w:tcBorders>
              <w:right w:val="single" w:sz="8" w:color="2D53A6"/>
            </w:tcBorders>
            <w:shd w:val="clear" w:color="auto" w:fill="E6E6E6"/>
          </w:tcPr>
          <w:p>
            <w:pPr>
              <w:spacing w:after="0"/>
              <w:rPr>
                <w:sz w:val="15"/>
                <w:szCs w:val="15"/>
                <w:color w:val="auto"/>
              </w:rPr>
            </w:pPr>
          </w:p>
        </w:tc>
        <w:tc>
          <w:tcPr>
            <w:tcW w:w="700" w:type="dxa"/>
            <w:vAlign w:val="bottom"/>
            <w:tcBorders>
              <w:right w:val="single" w:sz="8" w:color="2D53A6"/>
            </w:tcBorders>
            <w:shd w:val="clear" w:color="auto" w:fill="E6E6E6"/>
          </w:tcPr>
          <w:p>
            <w:pPr>
              <w:spacing w:after="0"/>
              <w:rPr>
                <w:sz w:val="15"/>
                <w:szCs w:val="15"/>
                <w:color w:val="auto"/>
              </w:rPr>
            </w:pPr>
          </w:p>
        </w:tc>
        <w:tc>
          <w:tcPr>
            <w:tcW w:w="680" w:type="dxa"/>
            <w:vAlign w:val="bottom"/>
            <w:tcBorders>
              <w:right w:val="single" w:sz="8" w:color="2D53A6"/>
            </w:tcBorders>
            <w:shd w:val="clear" w:color="auto" w:fill="E6E6E6"/>
          </w:tcPr>
          <w:p>
            <w:pPr>
              <w:spacing w:after="0"/>
              <w:rPr>
                <w:sz w:val="15"/>
                <w:szCs w:val="15"/>
                <w:color w:val="auto"/>
              </w:rPr>
            </w:pPr>
          </w:p>
        </w:tc>
        <w:tc>
          <w:tcPr>
            <w:tcW w:w="700" w:type="dxa"/>
            <w:vAlign w:val="bottom"/>
            <w:tcBorders>
              <w:right w:val="single" w:sz="8" w:color="2D53A6"/>
            </w:tcBorders>
            <w:shd w:val="clear" w:color="auto" w:fill="E6E6E6"/>
          </w:tcPr>
          <w:p>
            <w:pPr>
              <w:spacing w:after="0"/>
              <w:rPr>
                <w:sz w:val="15"/>
                <w:szCs w:val="15"/>
                <w:color w:val="auto"/>
              </w:rPr>
            </w:pPr>
          </w:p>
        </w:tc>
        <w:tc>
          <w:tcPr>
            <w:tcW w:w="660" w:type="dxa"/>
            <w:vAlign w:val="bottom"/>
            <w:tcBorders>
              <w:right w:val="single" w:sz="8" w:color="2D53A6"/>
            </w:tcBorders>
            <w:shd w:val="clear" w:color="auto" w:fill="E6E6E6"/>
          </w:tcPr>
          <w:p>
            <w:pPr>
              <w:spacing w:after="0"/>
              <w:rPr>
                <w:sz w:val="15"/>
                <w:szCs w:val="15"/>
                <w:color w:val="auto"/>
              </w:rPr>
            </w:pPr>
          </w:p>
        </w:tc>
        <w:tc>
          <w:tcPr>
            <w:tcW w:w="700" w:type="dxa"/>
            <w:vAlign w:val="bottom"/>
            <w:tcBorders>
              <w:right w:val="single" w:sz="8" w:color="2D53A6"/>
            </w:tcBorders>
            <w:shd w:val="clear" w:color="auto" w:fill="E6E6E6"/>
          </w:tcPr>
          <w:p>
            <w:pPr>
              <w:spacing w:after="0"/>
              <w:rPr>
                <w:sz w:val="15"/>
                <w:szCs w:val="15"/>
                <w:color w:val="auto"/>
              </w:rPr>
            </w:pPr>
          </w:p>
        </w:tc>
        <w:tc>
          <w:tcPr>
            <w:tcW w:w="660" w:type="dxa"/>
            <w:vAlign w:val="bottom"/>
            <w:tcBorders>
              <w:right w:val="single" w:sz="8" w:color="2D53A6"/>
            </w:tcBorders>
            <w:shd w:val="clear" w:color="auto" w:fill="E6E6E6"/>
          </w:tcPr>
          <w:p>
            <w:pPr>
              <w:spacing w:after="0"/>
              <w:rPr>
                <w:sz w:val="15"/>
                <w:szCs w:val="15"/>
                <w:color w:val="auto"/>
              </w:rPr>
            </w:pPr>
          </w:p>
        </w:tc>
        <w:tc>
          <w:tcPr>
            <w:tcW w:w="80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40" w:type="dxa"/>
            <w:vAlign w:val="bottom"/>
            <w:tcBorders>
              <w:right w:val="single" w:sz="8" w:color="2D53A6"/>
            </w:tcBorders>
            <w:gridSpan w:val="2"/>
            <w:shd w:val="clear" w:color="auto" w:fill="E6E6E6"/>
          </w:tcPr>
          <w:p>
            <w:pPr>
              <w:spacing w:after="0" w:line="202" w:lineRule="exact"/>
              <w:rPr>
                <w:sz w:val="20"/>
                <w:szCs w:val="20"/>
                <w:color w:val="auto"/>
              </w:rPr>
            </w:pPr>
            <w:r>
              <w:rPr>
                <w:rFonts w:ascii="Arial" w:cs="Arial" w:eastAsia="Arial" w:hAnsi="Arial"/>
                <w:sz w:val="18"/>
                <w:szCs w:val="18"/>
                <w:color w:val="auto"/>
              </w:rPr>
              <w:t>knowledge and understanding of semiconductor equipment</w:t>
            </w:r>
          </w:p>
        </w:tc>
        <w:tc>
          <w:tcPr>
            <w:tcW w:w="70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shd w:val="clear" w:color="auto" w:fill="E6E6E6"/>
          </w:tcPr>
          <w:p>
            <w:pPr>
              <w:spacing w:after="0"/>
              <w:rPr>
                <w:sz w:val="17"/>
                <w:szCs w:val="17"/>
                <w:color w:val="auto"/>
              </w:rPr>
            </w:pPr>
          </w:p>
        </w:tc>
        <w:tc>
          <w:tcPr>
            <w:tcW w:w="68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shd w:val="clear" w:color="auto" w:fill="E6E6E6"/>
          </w:tcPr>
          <w:p>
            <w:pPr>
              <w:spacing w:after="0"/>
              <w:rPr>
                <w:sz w:val="17"/>
                <w:szCs w:val="17"/>
                <w:color w:val="auto"/>
              </w:rPr>
            </w:pPr>
          </w:p>
        </w:tc>
        <w:tc>
          <w:tcPr>
            <w:tcW w:w="66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940" w:type="dxa"/>
            <w:vAlign w:val="bottom"/>
            <w:tcBorders>
              <w:right w:val="single" w:sz="8" w:color="2D53A6"/>
            </w:tcBorders>
            <w:gridSpan w:val="2"/>
            <w:vMerge w:val="restart"/>
            <w:shd w:val="clear" w:color="auto" w:fill="E6E6E6"/>
          </w:tcPr>
          <w:p>
            <w:pPr>
              <w:spacing w:after="0" w:line="202" w:lineRule="exact"/>
              <w:rPr>
                <w:sz w:val="20"/>
                <w:szCs w:val="20"/>
                <w:color w:val="auto"/>
              </w:rPr>
            </w:pPr>
            <w:r>
              <w:rPr>
                <w:rFonts w:ascii="Arial" w:cs="Arial" w:eastAsia="Arial" w:hAnsi="Arial"/>
                <w:sz w:val="18"/>
                <w:szCs w:val="18"/>
                <w:color w:val="auto"/>
              </w:rPr>
              <w:t>technologies, including an understanding of our</w:t>
            </w:r>
          </w:p>
        </w:tc>
        <w:tc>
          <w:tcPr>
            <w:tcW w:w="700" w:type="dxa"/>
            <w:vAlign w:val="bottom"/>
            <w:tcBorders>
              <w:right w:val="single" w:sz="8" w:color="2D53A6"/>
            </w:tcBorders>
            <w:shd w:val="clear" w:color="auto" w:fill="E6E6E6"/>
          </w:tcPr>
          <w:p>
            <w:pPr>
              <w:spacing w:after="0"/>
              <w:rPr>
                <w:sz w:val="11"/>
                <w:szCs w:val="11"/>
                <w:color w:val="auto"/>
              </w:rPr>
            </w:pPr>
          </w:p>
        </w:tc>
        <w:tc>
          <w:tcPr>
            <w:tcW w:w="700" w:type="dxa"/>
            <w:vAlign w:val="bottom"/>
            <w:tcBorders>
              <w:right w:val="single" w:sz="8" w:color="2D53A6"/>
            </w:tcBorders>
            <w:vMerge w:val="continue"/>
            <w:shd w:val="clear" w:color="auto" w:fill="E6E6E6"/>
          </w:tcPr>
          <w:p>
            <w:pPr>
              <w:spacing w:after="0"/>
              <w:rPr>
                <w:sz w:val="11"/>
                <w:szCs w:val="11"/>
                <w:color w:val="auto"/>
              </w:rPr>
            </w:pPr>
          </w:p>
        </w:tc>
        <w:tc>
          <w:tcPr>
            <w:tcW w:w="700" w:type="dxa"/>
            <w:vAlign w:val="bottom"/>
            <w:tcBorders>
              <w:right w:val="single" w:sz="8" w:color="2D53A6"/>
            </w:tcBorders>
            <w:shd w:val="clear" w:color="auto" w:fill="E6E6E6"/>
          </w:tcPr>
          <w:p>
            <w:pPr>
              <w:spacing w:after="0"/>
              <w:rPr>
                <w:sz w:val="11"/>
                <w:szCs w:val="11"/>
                <w:color w:val="auto"/>
              </w:rPr>
            </w:pPr>
          </w:p>
        </w:tc>
        <w:tc>
          <w:tcPr>
            <w:tcW w:w="680" w:type="dxa"/>
            <w:vAlign w:val="bottom"/>
            <w:tcBorders>
              <w:right w:val="single" w:sz="8" w:color="2D53A6"/>
            </w:tcBorders>
            <w:vMerge w:val="continue"/>
            <w:shd w:val="clear" w:color="auto" w:fill="E6E6E6"/>
          </w:tcPr>
          <w:p>
            <w:pPr>
              <w:spacing w:after="0"/>
              <w:rPr>
                <w:sz w:val="11"/>
                <w:szCs w:val="11"/>
                <w:color w:val="auto"/>
              </w:rPr>
            </w:pPr>
          </w:p>
        </w:tc>
        <w:tc>
          <w:tcPr>
            <w:tcW w:w="700" w:type="dxa"/>
            <w:vAlign w:val="bottom"/>
            <w:tcBorders>
              <w:right w:val="single" w:sz="8" w:color="2D53A6"/>
            </w:tcBorders>
            <w:shd w:val="clear" w:color="auto" w:fill="E6E6E6"/>
          </w:tcPr>
          <w:p>
            <w:pPr>
              <w:spacing w:after="0"/>
              <w:rPr>
                <w:sz w:val="11"/>
                <w:szCs w:val="11"/>
                <w:color w:val="auto"/>
              </w:rPr>
            </w:pPr>
          </w:p>
        </w:tc>
        <w:tc>
          <w:tcPr>
            <w:tcW w:w="660" w:type="dxa"/>
            <w:vAlign w:val="bottom"/>
            <w:tcBorders>
              <w:right w:val="single" w:sz="8" w:color="2D53A6"/>
            </w:tcBorders>
            <w:shd w:val="clear" w:color="auto" w:fill="E6E6E6"/>
          </w:tcPr>
          <w:p>
            <w:pPr>
              <w:spacing w:after="0"/>
              <w:rPr>
                <w:sz w:val="11"/>
                <w:szCs w:val="11"/>
                <w:color w:val="auto"/>
              </w:rPr>
            </w:pPr>
          </w:p>
        </w:tc>
        <w:tc>
          <w:tcPr>
            <w:tcW w:w="700" w:type="dxa"/>
            <w:vAlign w:val="bottom"/>
            <w:tcBorders>
              <w:right w:val="single" w:sz="8" w:color="2D53A6"/>
            </w:tcBorders>
            <w:vMerge w:val="continue"/>
            <w:shd w:val="clear" w:color="auto" w:fill="E6E6E6"/>
          </w:tcPr>
          <w:p>
            <w:pPr>
              <w:spacing w:after="0"/>
              <w:rPr>
                <w:sz w:val="11"/>
                <w:szCs w:val="11"/>
                <w:color w:val="auto"/>
              </w:rPr>
            </w:pPr>
          </w:p>
        </w:tc>
        <w:tc>
          <w:tcPr>
            <w:tcW w:w="660" w:type="dxa"/>
            <w:vAlign w:val="bottom"/>
            <w:tcBorders>
              <w:right w:val="single" w:sz="8" w:color="2D53A6"/>
            </w:tcBorders>
            <w:vMerge w:val="continue"/>
            <w:shd w:val="clear" w:color="auto" w:fill="E6E6E6"/>
          </w:tcPr>
          <w:p>
            <w:pPr>
              <w:spacing w:after="0"/>
              <w:rPr>
                <w:sz w:val="11"/>
                <w:szCs w:val="11"/>
                <w:color w:val="auto"/>
              </w:rPr>
            </w:pPr>
          </w:p>
        </w:tc>
        <w:tc>
          <w:tcPr>
            <w:tcW w:w="80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940" w:type="dxa"/>
            <w:vAlign w:val="bottom"/>
            <w:tcBorders>
              <w:right w:val="single" w:sz="8" w:color="2D53A6"/>
            </w:tcBorders>
            <w:gridSpan w:val="2"/>
            <w:vMerge w:val="continue"/>
            <w:shd w:val="clear" w:color="auto" w:fill="E6E6E6"/>
          </w:tcPr>
          <w:p>
            <w:pPr>
              <w:spacing w:after="0"/>
              <w:rPr>
                <w:sz w:val="6"/>
                <w:szCs w:val="6"/>
                <w:color w:val="auto"/>
              </w:rPr>
            </w:pPr>
          </w:p>
        </w:tc>
        <w:tc>
          <w:tcPr>
            <w:tcW w:w="700" w:type="dxa"/>
            <w:vAlign w:val="bottom"/>
            <w:tcBorders>
              <w:right w:val="single" w:sz="8" w:color="2D53A6"/>
            </w:tcBorders>
            <w:shd w:val="clear" w:color="auto" w:fill="E6E6E6"/>
          </w:tcPr>
          <w:p>
            <w:pPr>
              <w:spacing w:after="0"/>
              <w:rPr>
                <w:sz w:val="6"/>
                <w:szCs w:val="6"/>
                <w:color w:val="auto"/>
              </w:rPr>
            </w:pPr>
          </w:p>
        </w:tc>
        <w:tc>
          <w:tcPr>
            <w:tcW w:w="700" w:type="dxa"/>
            <w:vAlign w:val="bottom"/>
            <w:tcBorders>
              <w:right w:val="single" w:sz="8" w:color="2D53A6"/>
            </w:tcBorders>
            <w:shd w:val="clear" w:color="auto" w:fill="E6E6E6"/>
          </w:tcPr>
          <w:p>
            <w:pPr>
              <w:spacing w:after="0"/>
              <w:rPr>
                <w:sz w:val="6"/>
                <w:szCs w:val="6"/>
                <w:color w:val="auto"/>
              </w:rPr>
            </w:pPr>
          </w:p>
        </w:tc>
        <w:tc>
          <w:tcPr>
            <w:tcW w:w="700" w:type="dxa"/>
            <w:vAlign w:val="bottom"/>
            <w:tcBorders>
              <w:right w:val="single" w:sz="8" w:color="2D53A6"/>
            </w:tcBorders>
            <w:shd w:val="clear" w:color="auto" w:fill="E6E6E6"/>
          </w:tcPr>
          <w:p>
            <w:pPr>
              <w:spacing w:after="0"/>
              <w:rPr>
                <w:sz w:val="6"/>
                <w:szCs w:val="6"/>
                <w:color w:val="auto"/>
              </w:rPr>
            </w:pPr>
          </w:p>
        </w:tc>
        <w:tc>
          <w:tcPr>
            <w:tcW w:w="680" w:type="dxa"/>
            <w:vAlign w:val="bottom"/>
            <w:tcBorders>
              <w:right w:val="single" w:sz="8" w:color="2D53A6"/>
            </w:tcBorders>
            <w:shd w:val="clear" w:color="auto" w:fill="E6E6E6"/>
          </w:tcPr>
          <w:p>
            <w:pPr>
              <w:spacing w:after="0"/>
              <w:rPr>
                <w:sz w:val="6"/>
                <w:szCs w:val="6"/>
                <w:color w:val="auto"/>
              </w:rPr>
            </w:pPr>
          </w:p>
        </w:tc>
        <w:tc>
          <w:tcPr>
            <w:tcW w:w="700" w:type="dxa"/>
            <w:vAlign w:val="bottom"/>
            <w:tcBorders>
              <w:right w:val="single" w:sz="8" w:color="2D53A6"/>
            </w:tcBorders>
            <w:shd w:val="clear" w:color="auto" w:fill="E6E6E6"/>
          </w:tcPr>
          <w:p>
            <w:pPr>
              <w:spacing w:after="0"/>
              <w:rPr>
                <w:sz w:val="6"/>
                <w:szCs w:val="6"/>
                <w:color w:val="auto"/>
              </w:rPr>
            </w:pPr>
          </w:p>
        </w:tc>
        <w:tc>
          <w:tcPr>
            <w:tcW w:w="660" w:type="dxa"/>
            <w:vAlign w:val="bottom"/>
            <w:tcBorders>
              <w:right w:val="single" w:sz="8" w:color="2D53A6"/>
            </w:tcBorders>
            <w:shd w:val="clear" w:color="auto" w:fill="E6E6E6"/>
          </w:tcPr>
          <w:p>
            <w:pPr>
              <w:spacing w:after="0"/>
              <w:rPr>
                <w:sz w:val="6"/>
                <w:szCs w:val="6"/>
                <w:color w:val="auto"/>
              </w:rPr>
            </w:pPr>
          </w:p>
        </w:tc>
        <w:tc>
          <w:tcPr>
            <w:tcW w:w="700" w:type="dxa"/>
            <w:vAlign w:val="bottom"/>
            <w:tcBorders>
              <w:right w:val="single" w:sz="8" w:color="2D53A6"/>
            </w:tcBorders>
            <w:shd w:val="clear" w:color="auto" w:fill="E6E6E6"/>
          </w:tcPr>
          <w:p>
            <w:pPr>
              <w:spacing w:after="0"/>
              <w:rPr>
                <w:sz w:val="6"/>
                <w:szCs w:val="6"/>
                <w:color w:val="auto"/>
              </w:rPr>
            </w:pPr>
          </w:p>
        </w:tc>
        <w:tc>
          <w:tcPr>
            <w:tcW w:w="660" w:type="dxa"/>
            <w:vAlign w:val="bottom"/>
            <w:tcBorders>
              <w:right w:val="single" w:sz="8" w:color="2D53A6"/>
            </w:tcBorders>
            <w:shd w:val="clear" w:color="auto" w:fill="E6E6E6"/>
          </w:tcPr>
          <w:p>
            <w:pPr>
              <w:spacing w:after="0"/>
              <w:rPr>
                <w:sz w:val="6"/>
                <w:szCs w:val="6"/>
                <w:color w:val="auto"/>
              </w:rPr>
            </w:pPr>
          </w:p>
        </w:tc>
        <w:tc>
          <w:tcPr>
            <w:tcW w:w="80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4940" w:type="dxa"/>
            <w:vAlign w:val="bottom"/>
            <w:tcBorders>
              <w:bottom w:val="single" w:sz="8" w:color="2D53A6"/>
              <w:right w:val="single" w:sz="8" w:color="2D53A6"/>
            </w:tcBorders>
            <w:gridSpan w:val="2"/>
            <w:shd w:val="clear" w:color="auto" w:fill="E6E6E6"/>
          </w:tcPr>
          <w:p>
            <w:pPr>
              <w:spacing w:after="0"/>
              <w:rPr>
                <w:sz w:val="20"/>
                <w:szCs w:val="20"/>
                <w:color w:val="auto"/>
              </w:rPr>
            </w:pPr>
            <w:r>
              <w:rPr>
                <w:rFonts w:ascii="Arial" w:cs="Arial" w:eastAsia="Arial" w:hAnsi="Arial"/>
                <w:sz w:val="18"/>
                <w:szCs w:val="18"/>
                <w:color w:val="auto"/>
              </w:rPr>
              <w:t>customers’ markets and needs</w:t>
            </w:r>
          </w:p>
        </w:tc>
        <w:tc>
          <w:tcPr>
            <w:tcW w:w="700" w:type="dxa"/>
            <w:vAlign w:val="bottom"/>
            <w:tcBorders>
              <w:bottom w:val="single" w:sz="8" w:color="2D53A6"/>
              <w:right w:val="single" w:sz="8" w:color="2D53A6"/>
            </w:tcBorders>
            <w:shd w:val="clear" w:color="auto" w:fill="E6E6E6"/>
          </w:tcPr>
          <w:p>
            <w:pPr>
              <w:spacing w:after="0"/>
              <w:rPr>
                <w:sz w:val="19"/>
                <w:szCs w:val="19"/>
                <w:color w:val="auto"/>
              </w:rPr>
            </w:pPr>
          </w:p>
        </w:tc>
        <w:tc>
          <w:tcPr>
            <w:tcW w:w="700" w:type="dxa"/>
            <w:vAlign w:val="bottom"/>
            <w:tcBorders>
              <w:bottom w:val="single" w:sz="8" w:color="2D53A6"/>
              <w:right w:val="single" w:sz="8" w:color="2D53A6"/>
            </w:tcBorders>
            <w:shd w:val="clear" w:color="auto" w:fill="E6E6E6"/>
          </w:tcPr>
          <w:p>
            <w:pPr>
              <w:spacing w:after="0"/>
              <w:rPr>
                <w:sz w:val="19"/>
                <w:szCs w:val="19"/>
                <w:color w:val="auto"/>
              </w:rPr>
            </w:pPr>
          </w:p>
        </w:tc>
        <w:tc>
          <w:tcPr>
            <w:tcW w:w="700" w:type="dxa"/>
            <w:vAlign w:val="bottom"/>
            <w:tcBorders>
              <w:bottom w:val="single" w:sz="8" w:color="2D53A6"/>
              <w:right w:val="single" w:sz="8" w:color="2D53A6"/>
            </w:tcBorders>
            <w:shd w:val="clear" w:color="auto" w:fill="E6E6E6"/>
          </w:tcPr>
          <w:p>
            <w:pPr>
              <w:spacing w:after="0"/>
              <w:rPr>
                <w:sz w:val="19"/>
                <w:szCs w:val="19"/>
                <w:color w:val="auto"/>
              </w:rPr>
            </w:pPr>
          </w:p>
        </w:tc>
        <w:tc>
          <w:tcPr>
            <w:tcW w:w="680" w:type="dxa"/>
            <w:vAlign w:val="bottom"/>
            <w:tcBorders>
              <w:bottom w:val="single" w:sz="8" w:color="2D53A6"/>
              <w:right w:val="single" w:sz="8" w:color="2D53A6"/>
            </w:tcBorders>
            <w:shd w:val="clear" w:color="auto" w:fill="E6E6E6"/>
          </w:tcPr>
          <w:p>
            <w:pPr>
              <w:spacing w:after="0"/>
              <w:rPr>
                <w:sz w:val="19"/>
                <w:szCs w:val="19"/>
                <w:color w:val="auto"/>
              </w:rPr>
            </w:pPr>
          </w:p>
        </w:tc>
        <w:tc>
          <w:tcPr>
            <w:tcW w:w="700" w:type="dxa"/>
            <w:vAlign w:val="bottom"/>
            <w:tcBorders>
              <w:bottom w:val="single" w:sz="8" w:color="2D53A6"/>
              <w:right w:val="single" w:sz="8" w:color="2D53A6"/>
            </w:tcBorders>
            <w:shd w:val="clear" w:color="auto" w:fill="E6E6E6"/>
          </w:tcPr>
          <w:p>
            <w:pPr>
              <w:spacing w:after="0"/>
              <w:rPr>
                <w:sz w:val="19"/>
                <w:szCs w:val="19"/>
                <w:color w:val="auto"/>
              </w:rPr>
            </w:pPr>
          </w:p>
        </w:tc>
        <w:tc>
          <w:tcPr>
            <w:tcW w:w="660" w:type="dxa"/>
            <w:vAlign w:val="bottom"/>
            <w:tcBorders>
              <w:bottom w:val="single" w:sz="8" w:color="2D53A6"/>
              <w:right w:val="single" w:sz="8" w:color="2D53A6"/>
            </w:tcBorders>
            <w:shd w:val="clear" w:color="auto" w:fill="E6E6E6"/>
          </w:tcPr>
          <w:p>
            <w:pPr>
              <w:spacing w:after="0"/>
              <w:rPr>
                <w:sz w:val="19"/>
                <w:szCs w:val="19"/>
                <w:color w:val="auto"/>
              </w:rPr>
            </w:pPr>
          </w:p>
        </w:tc>
        <w:tc>
          <w:tcPr>
            <w:tcW w:w="700" w:type="dxa"/>
            <w:vAlign w:val="bottom"/>
            <w:tcBorders>
              <w:bottom w:val="single" w:sz="8" w:color="2D53A6"/>
              <w:right w:val="single" w:sz="8" w:color="2D53A6"/>
            </w:tcBorders>
            <w:shd w:val="clear" w:color="auto" w:fill="E6E6E6"/>
          </w:tcPr>
          <w:p>
            <w:pPr>
              <w:spacing w:after="0"/>
              <w:rPr>
                <w:sz w:val="19"/>
                <w:szCs w:val="19"/>
                <w:color w:val="auto"/>
              </w:rPr>
            </w:pPr>
          </w:p>
        </w:tc>
        <w:tc>
          <w:tcPr>
            <w:tcW w:w="660" w:type="dxa"/>
            <w:vAlign w:val="bottom"/>
            <w:tcBorders>
              <w:bottom w:val="single" w:sz="8" w:color="2D53A6"/>
              <w:right w:val="single" w:sz="8" w:color="2D53A6"/>
            </w:tcBorders>
            <w:shd w:val="clear" w:color="auto" w:fill="E6E6E6"/>
          </w:tcPr>
          <w:p>
            <w:pPr>
              <w:spacing w:after="0"/>
              <w:rPr>
                <w:sz w:val="19"/>
                <w:szCs w:val="19"/>
                <w:color w:val="auto"/>
              </w:rPr>
            </w:pPr>
          </w:p>
        </w:tc>
        <w:tc>
          <w:tcPr>
            <w:tcW w:w="800" w:type="dxa"/>
            <w:vAlign w:val="bottom"/>
            <w:tcBorders>
              <w:bottom w:val="single" w:sz="8" w:color="2D53A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940" w:type="dxa"/>
            <w:vAlign w:val="bottom"/>
            <w:tcBorders>
              <w:right w:val="single" w:sz="8" w:color="2D53A6"/>
            </w:tcBorders>
            <w:gridSpan w:val="2"/>
          </w:tcPr>
          <w:p>
            <w:pPr>
              <w:spacing w:after="0" w:line="177" w:lineRule="exact"/>
              <w:rPr>
                <w:sz w:val="20"/>
                <w:szCs w:val="20"/>
                <w:color w:val="auto"/>
              </w:rPr>
            </w:pPr>
            <w:r>
              <w:rPr>
                <w:rFonts w:ascii="Arial" w:cs="Arial" w:eastAsia="Arial" w:hAnsi="Arial"/>
                <w:sz w:val="18"/>
                <w:szCs w:val="18"/>
                <w:b w:val="1"/>
                <w:bCs w:val="1"/>
                <w:color w:val="auto"/>
              </w:rPr>
              <w:t xml:space="preserve">Global Business Experience </w:t>
            </w:r>
            <w:r>
              <w:rPr>
                <w:rFonts w:ascii="Arial" w:cs="Arial" w:eastAsia="Arial" w:hAnsi="Arial"/>
                <w:sz w:val="18"/>
                <w:szCs w:val="18"/>
                <w:color w:val="auto"/>
              </w:rPr>
              <w:t>– Experience as a current or</w:t>
            </w:r>
          </w:p>
        </w:tc>
        <w:tc>
          <w:tcPr>
            <w:tcW w:w="700" w:type="dxa"/>
            <w:vAlign w:val="bottom"/>
            <w:tcBorders>
              <w:right w:val="single" w:sz="8" w:color="2D53A6"/>
            </w:tcBorders>
          </w:tcPr>
          <w:p>
            <w:pPr>
              <w:spacing w:after="0"/>
              <w:rPr>
                <w:sz w:val="15"/>
                <w:szCs w:val="15"/>
                <w:color w:val="auto"/>
              </w:rPr>
            </w:pPr>
          </w:p>
        </w:tc>
        <w:tc>
          <w:tcPr>
            <w:tcW w:w="700" w:type="dxa"/>
            <w:vAlign w:val="bottom"/>
            <w:tcBorders>
              <w:right w:val="single" w:sz="8" w:color="2D53A6"/>
            </w:tcBorders>
          </w:tcPr>
          <w:p>
            <w:pPr>
              <w:spacing w:after="0"/>
              <w:rPr>
                <w:sz w:val="15"/>
                <w:szCs w:val="15"/>
                <w:color w:val="auto"/>
              </w:rPr>
            </w:pPr>
          </w:p>
        </w:tc>
        <w:tc>
          <w:tcPr>
            <w:tcW w:w="700" w:type="dxa"/>
            <w:vAlign w:val="bottom"/>
            <w:tcBorders>
              <w:right w:val="single" w:sz="8" w:color="2D53A6"/>
            </w:tcBorders>
          </w:tcPr>
          <w:p>
            <w:pPr>
              <w:spacing w:after="0"/>
              <w:rPr>
                <w:sz w:val="15"/>
                <w:szCs w:val="15"/>
                <w:color w:val="auto"/>
              </w:rPr>
            </w:pPr>
          </w:p>
        </w:tc>
        <w:tc>
          <w:tcPr>
            <w:tcW w:w="680" w:type="dxa"/>
            <w:vAlign w:val="bottom"/>
            <w:tcBorders>
              <w:right w:val="single" w:sz="8" w:color="2D53A6"/>
            </w:tcBorders>
          </w:tcPr>
          <w:p>
            <w:pPr>
              <w:spacing w:after="0"/>
              <w:rPr>
                <w:sz w:val="15"/>
                <w:szCs w:val="15"/>
                <w:color w:val="auto"/>
              </w:rPr>
            </w:pPr>
          </w:p>
        </w:tc>
        <w:tc>
          <w:tcPr>
            <w:tcW w:w="700" w:type="dxa"/>
            <w:vAlign w:val="bottom"/>
            <w:tcBorders>
              <w:right w:val="single" w:sz="8" w:color="2D53A6"/>
            </w:tcBorders>
          </w:tcPr>
          <w:p>
            <w:pPr>
              <w:spacing w:after="0"/>
              <w:rPr>
                <w:sz w:val="15"/>
                <w:szCs w:val="15"/>
                <w:color w:val="auto"/>
              </w:rPr>
            </w:pPr>
          </w:p>
        </w:tc>
        <w:tc>
          <w:tcPr>
            <w:tcW w:w="660" w:type="dxa"/>
            <w:vAlign w:val="bottom"/>
            <w:tcBorders>
              <w:right w:val="single" w:sz="8" w:color="2D53A6"/>
            </w:tcBorders>
          </w:tcPr>
          <w:p>
            <w:pPr>
              <w:spacing w:after="0"/>
              <w:rPr>
                <w:sz w:val="15"/>
                <w:szCs w:val="15"/>
                <w:color w:val="auto"/>
              </w:rPr>
            </w:pPr>
          </w:p>
        </w:tc>
        <w:tc>
          <w:tcPr>
            <w:tcW w:w="700" w:type="dxa"/>
            <w:vAlign w:val="bottom"/>
            <w:tcBorders>
              <w:right w:val="single" w:sz="8" w:color="2D53A6"/>
            </w:tcBorders>
          </w:tcPr>
          <w:p>
            <w:pPr>
              <w:spacing w:after="0"/>
              <w:rPr>
                <w:sz w:val="15"/>
                <w:szCs w:val="15"/>
                <w:color w:val="auto"/>
              </w:rPr>
            </w:pPr>
          </w:p>
        </w:tc>
        <w:tc>
          <w:tcPr>
            <w:tcW w:w="660" w:type="dxa"/>
            <w:vAlign w:val="bottom"/>
            <w:tcBorders>
              <w:right w:val="single" w:sz="8" w:color="2D53A6"/>
            </w:tcBorders>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40" w:type="dxa"/>
            <w:vAlign w:val="bottom"/>
            <w:tcBorders>
              <w:right w:val="single" w:sz="8" w:color="2D53A6"/>
            </w:tcBorders>
            <w:gridSpan w:val="2"/>
          </w:tcPr>
          <w:p>
            <w:pPr>
              <w:spacing w:after="0" w:line="202" w:lineRule="exact"/>
              <w:rPr>
                <w:sz w:val="20"/>
                <w:szCs w:val="20"/>
                <w:color w:val="auto"/>
              </w:rPr>
            </w:pPr>
            <w:r>
              <w:rPr>
                <w:rFonts w:ascii="Arial" w:cs="Arial" w:eastAsia="Arial" w:hAnsi="Arial"/>
                <w:sz w:val="18"/>
                <w:szCs w:val="18"/>
                <w:color w:val="auto"/>
              </w:rPr>
              <w:t>former business executive of a business with significant</w:t>
            </w:r>
          </w:p>
        </w:tc>
        <w:tc>
          <w:tcPr>
            <w:tcW w:w="70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940" w:type="dxa"/>
            <w:vAlign w:val="bottom"/>
            <w:tcBorders>
              <w:bottom w:val="single" w:sz="8" w:color="2D53A6"/>
              <w:right w:val="single" w:sz="8" w:color="2D53A6"/>
            </w:tcBorders>
            <w:gridSpan w:val="2"/>
          </w:tcPr>
          <w:p>
            <w:pPr>
              <w:spacing w:after="0"/>
              <w:rPr>
                <w:sz w:val="20"/>
                <w:szCs w:val="20"/>
                <w:color w:val="auto"/>
              </w:rPr>
            </w:pPr>
            <w:r>
              <w:rPr>
                <w:rFonts w:ascii="Arial" w:cs="Arial" w:eastAsia="Arial" w:hAnsi="Arial"/>
                <w:sz w:val="18"/>
                <w:szCs w:val="18"/>
                <w:color w:val="auto"/>
              </w:rPr>
              <w:t>global operations and customer base</w:t>
            </w:r>
          </w:p>
        </w:tc>
        <w:tc>
          <w:tcPr>
            <w:tcW w:w="700" w:type="dxa"/>
            <w:vAlign w:val="bottom"/>
            <w:tcBorders>
              <w:bottom w:val="single" w:sz="8" w:color="2D53A6"/>
              <w:right w:val="single" w:sz="8" w:color="2D53A6"/>
            </w:tcBorders>
          </w:tcPr>
          <w:p>
            <w:pPr>
              <w:spacing w:after="0"/>
              <w:rPr>
                <w:sz w:val="19"/>
                <w:szCs w:val="19"/>
                <w:color w:val="auto"/>
              </w:rPr>
            </w:pPr>
          </w:p>
        </w:tc>
        <w:tc>
          <w:tcPr>
            <w:tcW w:w="700" w:type="dxa"/>
            <w:vAlign w:val="bottom"/>
            <w:tcBorders>
              <w:bottom w:val="single" w:sz="8" w:color="2D53A6"/>
              <w:right w:val="single" w:sz="8" w:color="2D53A6"/>
            </w:tcBorders>
          </w:tcPr>
          <w:p>
            <w:pPr>
              <w:spacing w:after="0"/>
              <w:rPr>
                <w:sz w:val="19"/>
                <w:szCs w:val="19"/>
                <w:color w:val="auto"/>
              </w:rPr>
            </w:pPr>
          </w:p>
        </w:tc>
        <w:tc>
          <w:tcPr>
            <w:tcW w:w="700" w:type="dxa"/>
            <w:vAlign w:val="bottom"/>
            <w:tcBorders>
              <w:bottom w:val="single" w:sz="8" w:color="2D53A6"/>
              <w:right w:val="single" w:sz="8" w:color="2D53A6"/>
            </w:tcBorders>
          </w:tcPr>
          <w:p>
            <w:pPr>
              <w:spacing w:after="0"/>
              <w:rPr>
                <w:sz w:val="19"/>
                <w:szCs w:val="19"/>
                <w:color w:val="auto"/>
              </w:rPr>
            </w:pPr>
          </w:p>
        </w:tc>
        <w:tc>
          <w:tcPr>
            <w:tcW w:w="680" w:type="dxa"/>
            <w:vAlign w:val="bottom"/>
            <w:tcBorders>
              <w:bottom w:val="single" w:sz="8" w:color="2D53A6"/>
              <w:right w:val="single" w:sz="8" w:color="2D53A6"/>
            </w:tcBorders>
          </w:tcPr>
          <w:p>
            <w:pPr>
              <w:spacing w:after="0"/>
              <w:rPr>
                <w:sz w:val="19"/>
                <w:szCs w:val="19"/>
                <w:color w:val="auto"/>
              </w:rPr>
            </w:pPr>
          </w:p>
        </w:tc>
        <w:tc>
          <w:tcPr>
            <w:tcW w:w="700" w:type="dxa"/>
            <w:vAlign w:val="bottom"/>
            <w:tcBorders>
              <w:bottom w:val="single" w:sz="8" w:color="2D53A6"/>
              <w:right w:val="single" w:sz="8" w:color="2D53A6"/>
            </w:tcBorders>
          </w:tcPr>
          <w:p>
            <w:pPr>
              <w:spacing w:after="0"/>
              <w:rPr>
                <w:sz w:val="19"/>
                <w:szCs w:val="19"/>
                <w:color w:val="auto"/>
              </w:rPr>
            </w:pPr>
          </w:p>
        </w:tc>
        <w:tc>
          <w:tcPr>
            <w:tcW w:w="660" w:type="dxa"/>
            <w:vAlign w:val="bottom"/>
            <w:tcBorders>
              <w:bottom w:val="single" w:sz="8" w:color="2D53A6"/>
              <w:right w:val="single" w:sz="8" w:color="2D53A6"/>
            </w:tcBorders>
          </w:tcPr>
          <w:p>
            <w:pPr>
              <w:spacing w:after="0"/>
              <w:rPr>
                <w:sz w:val="19"/>
                <w:szCs w:val="19"/>
                <w:color w:val="auto"/>
              </w:rPr>
            </w:pPr>
          </w:p>
        </w:tc>
        <w:tc>
          <w:tcPr>
            <w:tcW w:w="700" w:type="dxa"/>
            <w:vAlign w:val="bottom"/>
            <w:tcBorders>
              <w:bottom w:val="single" w:sz="8" w:color="2D53A6"/>
              <w:right w:val="single" w:sz="8" w:color="2D53A6"/>
            </w:tcBorders>
          </w:tcPr>
          <w:p>
            <w:pPr>
              <w:spacing w:after="0"/>
              <w:rPr>
                <w:sz w:val="19"/>
                <w:szCs w:val="19"/>
                <w:color w:val="auto"/>
              </w:rPr>
            </w:pPr>
          </w:p>
        </w:tc>
        <w:tc>
          <w:tcPr>
            <w:tcW w:w="660" w:type="dxa"/>
            <w:vAlign w:val="bottom"/>
            <w:tcBorders>
              <w:bottom w:val="single" w:sz="8" w:color="2D53A6"/>
              <w:right w:val="single" w:sz="8" w:color="2D53A6"/>
            </w:tcBorders>
          </w:tcPr>
          <w:p>
            <w:pPr>
              <w:spacing w:after="0"/>
              <w:rPr>
                <w:sz w:val="19"/>
                <w:szCs w:val="19"/>
                <w:color w:val="auto"/>
              </w:rPr>
            </w:pPr>
          </w:p>
        </w:tc>
        <w:tc>
          <w:tcPr>
            <w:tcW w:w="800" w:type="dxa"/>
            <w:vAlign w:val="bottom"/>
            <w:tcBorders>
              <w:bottom w:val="single" w:sz="8" w:color="2D53A6"/>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940" w:type="dxa"/>
            <w:vAlign w:val="bottom"/>
            <w:tcBorders>
              <w:right w:val="single" w:sz="8" w:color="2D53A6"/>
            </w:tcBorders>
            <w:gridSpan w:val="2"/>
            <w:shd w:val="clear" w:color="auto" w:fill="E6E6E6"/>
          </w:tcPr>
          <w:p>
            <w:pPr>
              <w:spacing w:after="0" w:line="177" w:lineRule="exact"/>
              <w:rPr>
                <w:sz w:val="20"/>
                <w:szCs w:val="20"/>
                <w:color w:val="auto"/>
              </w:rPr>
            </w:pPr>
            <w:r>
              <w:rPr>
                <w:rFonts w:ascii="Arial" w:cs="Arial" w:eastAsia="Arial" w:hAnsi="Arial"/>
                <w:sz w:val="18"/>
                <w:szCs w:val="18"/>
                <w:b w:val="1"/>
                <w:bCs w:val="1"/>
                <w:color w:val="auto"/>
              </w:rPr>
              <w:t xml:space="preserve">Finance and Accounting </w:t>
            </w:r>
            <w:r>
              <w:rPr>
                <w:rFonts w:ascii="Arial" w:cs="Arial" w:eastAsia="Arial" w:hAnsi="Arial"/>
                <w:sz w:val="18"/>
                <w:szCs w:val="18"/>
                <w:color w:val="auto"/>
              </w:rPr>
              <w:t>– Experience as current or former</w:t>
            </w:r>
          </w:p>
        </w:tc>
        <w:tc>
          <w:tcPr>
            <w:tcW w:w="700" w:type="dxa"/>
            <w:vAlign w:val="bottom"/>
            <w:tcBorders>
              <w:right w:val="single" w:sz="8" w:color="2D53A6"/>
            </w:tcBorders>
            <w:shd w:val="clear" w:color="auto" w:fill="E6E6E6"/>
          </w:tcPr>
          <w:p>
            <w:pPr>
              <w:spacing w:after="0"/>
              <w:rPr>
                <w:sz w:val="15"/>
                <w:szCs w:val="15"/>
                <w:color w:val="auto"/>
              </w:rPr>
            </w:pPr>
          </w:p>
        </w:tc>
        <w:tc>
          <w:tcPr>
            <w:tcW w:w="700" w:type="dxa"/>
            <w:vAlign w:val="bottom"/>
            <w:tcBorders>
              <w:right w:val="single" w:sz="8" w:color="2D53A6"/>
            </w:tcBorders>
            <w:shd w:val="clear" w:color="auto" w:fill="E6E6E6"/>
          </w:tcPr>
          <w:p>
            <w:pPr>
              <w:spacing w:after="0"/>
              <w:rPr>
                <w:sz w:val="15"/>
                <w:szCs w:val="15"/>
                <w:color w:val="auto"/>
              </w:rPr>
            </w:pPr>
          </w:p>
        </w:tc>
        <w:tc>
          <w:tcPr>
            <w:tcW w:w="700" w:type="dxa"/>
            <w:vAlign w:val="bottom"/>
            <w:tcBorders>
              <w:right w:val="single" w:sz="8" w:color="2D53A6"/>
            </w:tcBorders>
            <w:shd w:val="clear" w:color="auto" w:fill="E6E6E6"/>
          </w:tcPr>
          <w:p>
            <w:pPr>
              <w:spacing w:after="0"/>
              <w:rPr>
                <w:sz w:val="15"/>
                <w:szCs w:val="15"/>
                <w:color w:val="auto"/>
              </w:rPr>
            </w:pPr>
          </w:p>
        </w:tc>
        <w:tc>
          <w:tcPr>
            <w:tcW w:w="680" w:type="dxa"/>
            <w:vAlign w:val="bottom"/>
            <w:tcBorders>
              <w:right w:val="single" w:sz="8" w:color="2D53A6"/>
            </w:tcBorders>
            <w:shd w:val="clear" w:color="auto" w:fill="E6E6E6"/>
          </w:tcPr>
          <w:p>
            <w:pPr>
              <w:spacing w:after="0"/>
              <w:rPr>
                <w:sz w:val="15"/>
                <w:szCs w:val="15"/>
                <w:color w:val="auto"/>
              </w:rPr>
            </w:pPr>
          </w:p>
        </w:tc>
        <w:tc>
          <w:tcPr>
            <w:tcW w:w="700" w:type="dxa"/>
            <w:vAlign w:val="bottom"/>
            <w:tcBorders>
              <w:right w:val="single" w:sz="8" w:color="2D53A6"/>
            </w:tcBorders>
            <w:shd w:val="clear" w:color="auto" w:fill="E6E6E6"/>
          </w:tcPr>
          <w:p>
            <w:pPr>
              <w:spacing w:after="0"/>
              <w:rPr>
                <w:sz w:val="15"/>
                <w:szCs w:val="15"/>
                <w:color w:val="auto"/>
              </w:rPr>
            </w:pPr>
          </w:p>
        </w:tc>
        <w:tc>
          <w:tcPr>
            <w:tcW w:w="660" w:type="dxa"/>
            <w:vAlign w:val="bottom"/>
            <w:tcBorders>
              <w:right w:val="single" w:sz="8" w:color="2D53A6"/>
            </w:tcBorders>
            <w:shd w:val="clear" w:color="auto" w:fill="E6E6E6"/>
          </w:tcPr>
          <w:p>
            <w:pPr>
              <w:spacing w:after="0"/>
              <w:rPr>
                <w:sz w:val="15"/>
                <w:szCs w:val="15"/>
                <w:color w:val="auto"/>
              </w:rPr>
            </w:pPr>
          </w:p>
        </w:tc>
        <w:tc>
          <w:tcPr>
            <w:tcW w:w="700" w:type="dxa"/>
            <w:vAlign w:val="bottom"/>
            <w:tcBorders>
              <w:right w:val="single" w:sz="8" w:color="2D53A6"/>
            </w:tcBorders>
            <w:shd w:val="clear" w:color="auto" w:fill="E6E6E6"/>
          </w:tcPr>
          <w:p>
            <w:pPr>
              <w:spacing w:after="0"/>
              <w:rPr>
                <w:sz w:val="15"/>
                <w:szCs w:val="15"/>
                <w:color w:val="auto"/>
              </w:rPr>
            </w:pPr>
          </w:p>
        </w:tc>
        <w:tc>
          <w:tcPr>
            <w:tcW w:w="660" w:type="dxa"/>
            <w:vAlign w:val="bottom"/>
            <w:tcBorders>
              <w:right w:val="single" w:sz="8" w:color="2D53A6"/>
            </w:tcBorders>
            <w:shd w:val="clear" w:color="auto" w:fill="E6E6E6"/>
          </w:tcPr>
          <w:p>
            <w:pPr>
              <w:spacing w:after="0"/>
              <w:rPr>
                <w:sz w:val="15"/>
                <w:szCs w:val="15"/>
                <w:color w:val="auto"/>
              </w:rPr>
            </w:pPr>
          </w:p>
        </w:tc>
        <w:tc>
          <w:tcPr>
            <w:tcW w:w="80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40" w:type="dxa"/>
            <w:vAlign w:val="bottom"/>
            <w:tcBorders>
              <w:right w:val="single" w:sz="8" w:color="2D53A6"/>
            </w:tcBorders>
            <w:gridSpan w:val="2"/>
            <w:shd w:val="clear" w:color="auto" w:fill="E6E6E6"/>
          </w:tcPr>
          <w:p>
            <w:pPr>
              <w:spacing w:after="0" w:line="202" w:lineRule="exact"/>
              <w:rPr>
                <w:sz w:val="20"/>
                <w:szCs w:val="20"/>
                <w:color w:val="auto"/>
              </w:rPr>
            </w:pPr>
            <w:r>
              <w:rPr>
                <w:rFonts w:ascii="Arial" w:cs="Arial" w:eastAsia="Arial" w:hAnsi="Arial"/>
                <w:sz w:val="18"/>
                <w:szCs w:val="18"/>
                <w:color w:val="auto"/>
              </w:rPr>
              <w:t>public company executive directly responsible for accounting</w:t>
            </w:r>
          </w:p>
        </w:tc>
        <w:tc>
          <w:tcPr>
            <w:tcW w:w="7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6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940" w:type="dxa"/>
            <w:vAlign w:val="bottom"/>
            <w:tcBorders>
              <w:right w:val="single" w:sz="8" w:color="2D53A6"/>
            </w:tcBorders>
            <w:gridSpan w:val="2"/>
            <w:vMerge w:val="restart"/>
            <w:shd w:val="clear" w:color="auto" w:fill="E6E6E6"/>
          </w:tcPr>
          <w:p>
            <w:pPr>
              <w:spacing w:after="0" w:line="202" w:lineRule="exact"/>
              <w:rPr>
                <w:sz w:val="20"/>
                <w:szCs w:val="20"/>
                <w:color w:val="auto"/>
              </w:rPr>
            </w:pPr>
            <w:r>
              <w:rPr>
                <w:rFonts w:ascii="Arial" w:cs="Arial" w:eastAsia="Arial" w:hAnsi="Arial"/>
                <w:sz w:val="18"/>
                <w:szCs w:val="18"/>
                <w:color w:val="auto"/>
              </w:rPr>
              <w:t>operations and financial reporting with a level of complexity</w:t>
            </w:r>
          </w:p>
        </w:tc>
        <w:tc>
          <w:tcPr>
            <w:tcW w:w="700" w:type="dxa"/>
            <w:vAlign w:val="bottom"/>
            <w:tcBorders>
              <w:right w:val="single" w:sz="8" w:color="2D53A6"/>
            </w:tcBorders>
            <w:vMerge w:val="continue"/>
            <w:shd w:val="clear" w:color="auto" w:fill="E6E6E6"/>
          </w:tcPr>
          <w:p>
            <w:pPr>
              <w:spacing w:after="0"/>
              <w:rPr>
                <w:sz w:val="11"/>
                <w:szCs w:val="11"/>
                <w:color w:val="auto"/>
              </w:rPr>
            </w:pPr>
          </w:p>
        </w:tc>
        <w:tc>
          <w:tcPr>
            <w:tcW w:w="700" w:type="dxa"/>
            <w:vAlign w:val="bottom"/>
            <w:tcBorders>
              <w:right w:val="single" w:sz="8" w:color="2D53A6"/>
            </w:tcBorders>
            <w:shd w:val="clear" w:color="auto" w:fill="E6E6E6"/>
          </w:tcPr>
          <w:p>
            <w:pPr>
              <w:spacing w:after="0"/>
              <w:rPr>
                <w:sz w:val="11"/>
                <w:szCs w:val="11"/>
                <w:color w:val="auto"/>
              </w:rPr>
            </w:pPr>
          </w:p>
        </w:tc>
        <w:tc>
          <w:tcPr>
            <w:tcW w:w="700" w:type="dxa"/>
            <w:vAlign w:val="bottom"/>
            <w:tcBorders>
              <w:right w:val="single" w:sz="8" w:color="2D53A6"/>
            </w:tcBorders>
            <w:vMerge w:val="continue"/>
            <w:shd w:val="clear" w:color="auto" w:fill="E6E6E6"/>
          </w:tcPr>
          <w:p>
            <w:pPr>
              <w:spacing w:after="0"/>
              <w:rPr>
                <w:sz w:val="11"/>
                <w:szCs w:val="11"/>
                <w:color w:val="auto"/>
              </w:rPr>
            </w:pPr>
          </w:p>
        </w:tc>
        <w:tc>
          <w:tcPr>
            <w:tcW w:w="680" w:type="dxa"/>
            <w:vAlign w:val="bottom"/>
            <w:tcBorders>
              <w:right w:val="single" w:sz="8" w:color="2D53A6"/>
            </w:tcBorders>
            <w:vMerge w:val="continue"/>
            <w:shd w:val="clear" w:color="auto" w:fill="E6E6E6"/>
          </w:tcPr>
          <w:p>
            <w:pPr>
              <w:spacing w:after="0"/>
              <w:rPr>
                <w:sz w:val="11"/>
                <w:szCs w:val="11"/>
                <w:color w:val="auto"/>
              </w:rPr>
            </w:pPr>
          </w:p>
        </w:tc>
        <w:tc>
          <w:tcPr>
            <w:tcW w:w="700" w:type="dxa"/>
            <w:vAlign w:val="bottom"/>
            <w:tcBorders>
              <w:right w:val="single" w:sz="8" w:color="2D53A6"/>
            </w:tcBorders>
            <w:vMerge w:val="continue"/>
            <w:shd w:val="clear" w:color="auto" w:fill="E6E6E6"/>
          </w:tcPr>
          <w:p>
            <w:pPr>
              <w:spacing w:after="0"/>
              <w:rPr>
                <w:sz w:val="11"/>
                <w:szCs w:val="11"/>
                <w:color w:val="auto"/>
              </w:rPr>
            </w:pPr>
          </w:p>
        </w:tc>
        <w:tc>
          <w:tcPr>
            <w:tcW w:w="660" w:type="dxa"/>
            <w:vAlign w:val="bottom"/>
            <w:tcBorders>
              <w:right w:val="single" w:sz="8" w:color="2D53A6"/>
            </w:tcBorders>
            <w:shd w:val="clear" w:color="auto" w:fill="E6E6E6"/>
          </w:tcPr>
          <w:p>
            <w:pPr>
              <w:spacing w:after="0"/>
              <w:rPr>
                <w:sz w:val="11"/>
                <w:szCs w:val="11"/>
                <w:color w:val="auto"/>
              </w:rPr>
            </w:pPr>
          </w:p>
        </w:tc>
        <w:tc>
          <w:tcPr>
            <w:tcW w:w="700" w:type="dxa"/>
            <w:vAlign w:val="bottom"/>
            <w:tcBorders>
              <w:right w:val="single" w:sz="8" w:color="2D53A6"/>
            </w:tcBorders>
            <w:shd w:val="clear" w:color="auto" w:fill="E6E6E6"/>
          </w:tcPr>
          <w:p>
            <w:pPr>
              <w:spacing w:after="0"/>
              <w:rPr>
                <w:sz w:val="11"/>
                <w:szCs w:val="11"/>
                <w:color w:val="auto"/>
              </w:rPr>
            </w:pPr>
          </w:p>
        </w:tc>
        <w:tc>
          <w:tcPr>
            <w:tcW w:w="660" w:type="dxa"/>
            <w:vAlign w:val="bottom"/>
            <w:tcBorders>
              <w:right w:val="single" w:sz="8" w:color="2D53A6"/>
            </w:tcBorders>
            <w:vMerge w:val="continue"/>
            <w:shd w:val="clear" w:color="auto" w:fill="E6E6E6"/>
          </w:tcPr>
          <w:p>
            <w:pPr>
              <w:spacing w:after="0"/>
              <w:rPr>
                <w:sz w:val="11"/>
                <w:szCs w:val="11"/>
                <w:color w:val="auto"/>
              </w:rPr>
            </w:pPr>
          </w:p>
        </w:tc>
        <w:tc>
          <w:tcPr>
            <w:tcW w:w="80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940" w:type="dxa"/>
            <w:vAlign w:val="bottom"/>
            <w:tcBorders>
              <w:right w:val="single" w:sz="8" w:color="2D53A6"/>
            </w:tcBorders>
            <w:gridSpan w:val="2"/>
            <w:vMerge w:val="continue"/>
            <w:shd w:val="clear" w:color="auto" w:fill="E6E6E6"/>
          </w:tcPr>
          <w:p>
            <w:pPr>
              <w:spacing w:after="0"/>
              <w:rPr>
                <w:sz w:val="6"/>
                <w:szCs w:val="6"/>
                <w:color w:val="auto"/>
              </w:rPr>
            </w:pPr>
          </w:p>
        </w:tc>
        <w:tc>
          <w:tcPr>
            <w:tcW w:w="700" w:type="dxa"/>
            <w:vAlign w:val="bottom"/>
            <w:tcBorders>
              <w:right w:val="single" w:sz="8" w:color="2D53A6"/>
            </w:tcBorders>
            <w:shd w:val="clear" w:color="auto" w:fill="E6E6E6"/>
          </w:tcPr>
          <w:p>
            <w:pPr>
              <w:spacing w:after="0"/>
              <w:rPr>
                <w:sz w:val="6"/>
                <w:szCs w:val="6"/>
                <w:color w:val="auto"/>
              </w:rPr>
            </w:pPr>
          </w:p>
        </w:tc>
        <w:tc>
          <w:tcPr>
            <w:tcW w:w="700" w:type="dxa"/>
            <w:vAlign w:val="bottom"/>
            <w:tcBorders>
              <w:right w:val="single" w:sz="8" w:color="2D53A6"/>
            </w:tcBorders>
            <w:shd w:val="clear" w:color="auto" w:fill="E6E6E6"/>
          </w:tcPr>
          <w:p>
            <w:pPr>
              <w:spacing w:after="0"/>
              <w:rPr>
                <w:sz w:val="6"/>
                <w:szCs w:val="6"/>
                <w:color w:val="auto"/>
              </w:rPr>
            </w:pPr>
          </w:p>
        </w:tc>
        <w:tc>
          <w:tcPr>
            <w:tcW w:w="700" w:type="dxa"/>
            <w:vAlign w:val="bottom"/>
            <w:tcBorders>
              <w:right w:val="single" w:sz="8" w:color="2D53A6"/>
            </w:tcBorders>
            <w:shd w:val="clear" w:color="auto" w:fill="E6E6E6"/>
          </w:tcPr>
          <w:p>
            <w:pPr>
              <w:spacing w:after="0"/>
              <w:rPr>
                <w:sz w:val="6"/>
                <w:szCs w:val="6"/>
                <w:color w:val="auto"/>
              </w:rPr>
            </w:pPr>
          </w:p>
        </w:tc>
        <w:tc>
          <w:tcPr>
            <w:tcW w:w="680" w:type="dxa"/>
            <w:vAlign w:val="bottom"/>
            <w:tcBorders>
              <w:right w:val="single" w:sz="8" w:color="2D53A6"/>
            </w:tcBorders>
            <w:shd w:val="clear" w:color="auto" w:fill="E6E6E6"/>
          </w:tcPr>
          <w:p>
            <w:pPr>
              <w:spacing w:after="0"/>
              <w:rPr>
                <w:sz w:val="6"/>
                <w:szCs w:val="6"/>
                <w:color w:val="auto"/>
              </w:rPr>
            </w:pPr>
          </w:p>
        </w:tc>
        <w:tc>
          <w:tcPr>
            <w:tcW w:w="700" w:type="dxa"/>
            <w:vAlign w:val="bottom"/>
            <w:tcBorders>
              <w:right w:val="single" w:sz="8" w:color="2D53A6"/>
            </w:tcBorders>
            <w:shd w:val="clear" w:color="auto" w:fill="E6E6E6"/>
          </w:tcPr>
          <w:p>
            <w:pPr>
              <w:spacing w:after="0"/>
              <w:rPr>
                <w:sz w:val="6"/>
                <w:szCs w:val="6"/>
                <w:color w:val="auto"/>
              </w:rPr>
            </w:pPr>
          </w:p>
        </w:tc>
        <w:tc>
          <w:tcPr>
            <w:tcW w:w="660" w:type="dxa"/>
            <w:vAlign w:val="bottom"/>
            <w:tcBorders>
              <w:right w:val="single" w:sz="8" w:color="2D53A6"/>
            </w:tcBorders>
            <w:shd w:val="clear" w:color="auto" w:fill="E6E6E6"/>
          </w:tcPr>
          <w:p>
            <w:pPr>
              <w:spacing w:after="0"/>
              <w:rPr>
                <w:sz w:val="6"/>
                <w:szCs w:val="6"/>
                <w:color w:val="auto"/>
              </w:rPr>
            </w:pPr>
          </w:p>
        </w:tc>
        <w:tc>
          <w:tcPr>
            <w:tcW w:w="700" w:type="dxa"/>
            <w:vAlign w:val="bottom"/>
            <w:tcBorders>
              <w:right w:val="single" w:sz="8" w:color="2D53A6"/>
            </w:tcBorders>
            <w:shd w:val="clear" w:color="auto" w:fill="E6E6E6"/>
          </w:tcPr>
          <w:p>
            <w:pPr>
              <w:spacing w:after="0"/>
              <w:rPr>
                <w:sz w:val="6"/>
                <w:szCs w:val="6"/>
                <w:color w:val="auto"/>
              </w:rPr>
            </w:pPr>
          </w:p>
        </w:tc>
        <w:tc>
          <w:tcPr>
            <w:tcW w:w="660" w:type="dxa"/>
            <w:vAlign w:val="bottom"/>
            <w:tcBorders>
              <w:right w:val="single" w:sz="8" w:color="2D53A6"/>
            </w:tcBorders>
            <w:shd w:val="clear" w:color="auto" w:fill="E6E6E6"/>
          </w:tcPr>
          <w:p>
            <w:pPr>
              <w:spacing w:after="0"/>
              <w:rPr>
                <w:sz w:val="6"/>
                <w:szCs w:val="6"/>
                <w:color w:val="auto"/>
              </w:rPr>
            </w:pPr>
          </w:p>
        </w:tc>
        <w:tc>
          <w:tcPr>
            <w:tcW w:w="80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4940" w:type="dxa"/>
            <w:vAlign w:val="bottom"/>
            <w:tcBorders>
              <w:bottom w:val="single" w:sz="8" w:color="2D53A6"/>
              <w:right w:val="single" w:sz="8" w:color="2D53A6"/>
            </w:tcBorders>
            <w:gridSpan w:val="2"/>
            <w:shd w:val="clear" w:color="auto" w:fill="E6E6E6"/>
          </w:tcPr>
          <w:p>
            <w:pPr>
              <w:spacing w:after="0"/>
              <w:rPr>
                <w:sz w:val="20"/>
                <w:szCs w:val="20"/>
                <w:color w:val="auto"/>
              </w:rPr>
            </w:pPr>
            <w:r>
              <w:rPr>
                <w:rFonts w:ascii="Arial" w:cs="Arial" w:eastAsia="Arial" w:hAnsi="Arial"/>
                <w:sz w:val="18"/>
                <w:szCs w:val="18"/>
                <w:color w:val="auto"/>
              </w:rPr>
              <w:t>comparable to the Company</w:t>
            </w:r>
          </w:p>
        </w:tc>
        <w:tc>
          <w:tcPr>
            <w:tcW w:w="700" w:type="dxa"/>
            <w:vAlign w:val="bottom"/>
            <w:tcBorders>
              <w:bottom w:val="single" w:sz="8" w:color="2D53A6"/>
              <w:right w:val="single" w:sz="8" w:color="2D53A6"/>
            </w:tcBorders>
            <w:shd w:val="clear" w:color="auto" w:fill="E6E6E6"/>
          </w:tcPr>
          <w:p>
            <w:pPr>
              <w:spacing w:after="0"/>
              <w:rPr>
                <w:sz w:val="19"/>
                <w:szCs w:val="19"/>
                <w:color w:val="auto"/>
              </w:rPr>
            </w:pPr>
          </w:p>
        </w:tc>
        <w:tc>
          <w:tcPr>
            <w:tcW w:w="700" w:type="dxa"/>
            <w:vAlign w:val="bottom"/>
            <w:tcBorders>
              <w:bottom w:val="single" w:sz="8" w:color="2D53A6"/>
              <w:right w:val="single" w:sz="8" w:color="2D53A6"/>
            </w:tcBorders>
            <w:shd w:val="clear" w:color="auto" w:fill="E6E6E6"/>
          </w:tcPr>
          <w:p>
            <w:pPr>
              <w:spacing w:after="0"/>
              <w:rPr>
                <w:sz w:val="19"/>
                <w:szCs w:val="19"/>
                <w:color w:val="auto"/>
              </w:rPr>
            </w:pPr>
          </w:p>
        </w:tc>
        <w:tc>
          <w:tcPr>
            <w:tcW w:w="700" w:type="dxa"/>
            <w:vAlign w:val="bottom"/>
            <w:tcBorders>
              <w:bottom w:val="single" w:sz="8" w:color="2D53A6"/>
              <w:right w:val="single" w:sz="8" w:color="2D53A6"/>
            </w:tcBorders>
            <w:shd w:val="clear" w:color="auto" w:fill="E6E6E6"/>
          </w:tcPr>
          <w:p>
            <w:pPr>
              <w:spacing w:after="0"/>
              <w:rPr>
                <w:sz w:val="19"/>
                <w:szCs w:val="19"/>
                <w:color w:val="auto"/>
              </w:rPr>
            </w:pPr>
          </w:p>
        </w:tc>
        <w:tc>
          <w:tcPr>
            <w:tcW w:w="680" w:type="dxa"/>
            <w:vAlign w:val="bottom"/>
            <w:tcBorders>
              <w:bottom w:val="single" w:sz="8" w:color="2D53A6"/>
              <w:right w:val="single" w:sz="8" w:color="2D53A6"/>
            </w:tcBorders>
            <w:shd w:val="clear" w:color="auto" w:fill="E6E6E6"/>
          </w:tcPr>
          <w:p>
            <w:pPr>
              <w:spacing w:after="0"/>
              <w:rPr>
                <w:sz w:val="19"/>
                <w:szCs w:val="19"/>
                <w:color w:val="auto"/>
              </w:rPr>
            </w:pPr>
          </w:p>
        </w:tc>
        <w:tc>
          <w:tcPr>
            <w:tcW w:w="700" w:type="dxa"/>
            <w:vAlign w:val="bottom"/>
            <w:tcBorders>
              <w:bottom w:val="single" w:sz="8" w:color="2D53A6"/>
              <w:right w:val="single" w:sz="8" w:color="2D53A6"/>
            </w:tcBorders>
            <w:shd w:val="clear" w:color="auto" w:fill="E6E6E6"/>
          </w:tcPr>
          <w:p>
            <w:pPr>
              <w:spacing w:after="0"/>
              <w:rPr>
                <w:sz w:val="19"/>
                <w:szCs w:val="19"/>
                <w:color w:val="auto"/>
              </w:rPr>
            </w:pPr>
          </w:p>
        </w:tc>
        <w:tc>
          <w:tcPr>
            <w:tcW w:w="660" w:type="dxa"/>
            <w:vAlign w:val="bottom"/>
            <w:tcBorders>
              <w:bottom w:val="single" w:sz="8" w:color="2D53A6"/>
              <w:right w:val="single" w:sz="8" w:color="2D53A6"/>
            </w:tcBorders>
            <w:shd w:val="clear" w:color="auto" w:fill="E6E6E6"/>
          </w:tcPr>
          <w:p>
            <w:pPr>
              <w:spacing w:after="0"/>
              <w:rPr>
                <w:sz w:val="19"/>
                <w:szCs w:val="19"/>
                <w:color w:val="auto"/>
              </w:rPr>
            </w:pPr>
          </w:p>
        </w:tc>
        <w:tc>
          <w:tcPr>
            <w:tcW w:w="700" w:type="dxa"/>
            <w:vAlign w:val="bottom"/>
            <w:tcBorders>
              <w:bottom w:val="single" w:sz="8" w:color="2D53A6"/>
              <w:right w:val="single" w:sz="8" w:color="2D53A6"/>
            </w:tcBorders>
            <w:shd w:val="clear" w:color="auto" w:fill="E6E6E6"/>
          </w:tcPr>
          <w:p>
            <w:pPr>
              <w:spacing w:after="0"/>
              <w:rPr>
                <w:sz w:val="19"/>
                <w:szCs w:val="19"/>
                <w:color w:val="auto"/>
              </w:rPr>
            </w:pPr>
          </w:p>
        </w:tc>
        <w:tc>
          <w:tcPr>
            <w:tcW w:w="660" w:type="dxa"/>
            <w:vAlign w:val="bottom"/>
            <w:tcBorders>
              <w:bottom w:val="single" w:sz="8" w:color="2D53A6"/>
              <w:right w:val="single" w:sz="8" w:color="2D53A6"/>
            </w:tcBorders>
            <w:shd w:val="clear" w:color="auto" w:fill="E6E6E6"/>
          </w:tcPr>
          <w:p>
            <w:pPr>
              <w:spacing w:after="0"/>
              <w:rPr>
                <w:sz w:val="19"/>
                <w:szCs w:val="19"/>
                <w:color w:val="auto"/>
              </w:rPr>
            </w:pPr>
          </w:p>
        </w:tc>
        <w:tc>
          <w:tcPr>
            <w:tcW w:w="800" w:type="dxa"/>
            <w:vAlign w:val="bottom"/>
            <w:tcBorders>
              <w:bottom w:val="single" w:sz="8" w:color="2D53A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940" w:type="dxa"/>
            <w:vAlign w:val="bottom"/>
            <w:tcBorders>
              <w:right w:val="single" w:sz="8" w:color="2D53A6"/>
            </w:tcBorders>
            <w:gridSpan w:val="2"/>
          </w:tcPr>
          <w:p>
            <w:pPr>
              <w:spacing w:after="0" w:line="177" w:lineRule="exact"/>
              <w:rPr>
                <w:sz w:val="20"/>
                <w:szCs w:val="20"/>
                <w:color w:val="auto"/>
              </w:rPr>
            </w:pPr>
            <w:r>
              <w:rPr>
                <w:rFonts w:ascii="Arial" w:cs="Arial" w:eastAsia="Arial" w:hAnsi="Arial"/>
                <w:sz w:val="18"/>
                <w:szCs w:val="18"/>
                <w:b w:val="1"/>
                <w:bCs w:val="1"/>
                <w:color w:val="auto"/>
              </w:rPr>
              <w:t xml:space="preserve">Operations </w:t>
            </w:r>
            <w:r>
              <w:rPr>
                <w:rFonts w:ascii="Arial" w:cs="Arial" w:eastAsia="Arial" w:hAnsi="Arial"/>
                <w:sz w:val="18"/>
                <w:szCs w:val="18"/>
                <w:color w:val="auto"/>
              </w:rPr>
              <w:t>– Experience as a current or former senior</w:t>
            </w:r>
          </w:p>
        </w:tc>
        <w:tc>
          <w:tcPr>
            <w:tcW w:w="700" w:type="dxa"/>
            <w:vAlign w:val="bottom"/>
            <w:tcBorders>
              <w:right w:val="single" w:sz="8" w:color="2D53A6"/>
            </w:tcBorders>
          </w:tcPr>
          <w:p>
            <w:pPr>
              <w:spacing w:after="0"/>
              <w:rPr>
                <w:sz w:val="15"/>
                <w:szCs w:val="15"/>
                <w:color w:val="auto"/>
              </w:rPr>
            </w:pPr>
          </w:p>
        </w:tc>
        <w:tc>
          <w:tcPr>
            <w:tcW w:w="700" w:type="dxa"/>
            <w:vAlign w:val="bottom"/>
            <w:tcBorders>
              <w:right w:val="single" w:sz="8" w:color="2D53A6"/>
            </w:tcBorders>
          </w:tcPr>
          <w:p>
            <w:pPr>
              <w:spacing w:after="0"/>
              <w:rPr>
                <w:sz w:val="15"/>
                <w:szCs w:val="15"/>
                <w:color w:val="auto"/>
              </w:rPr>
            </w:pPr>
          </w:p>
        </w:tc>
        <w:tc>
          <w:tcPr>
            <w:tcW w:w="700" w:type="dxa"/>
            <w:vAlign w:val="bottom"/>
            <w:tcBorders>
              <w:right w:val="single" w:sz="8" w:color="2D53A6"/>
            </w:tcBorders>
          </w:tcPr>
          <w:p>
            <w:pPr>
              <w:spacing w:after="0"/>
              <w:rPr>
                <w:sz w:val="15"/>
                <w:szCs w:val="15"/>
                <w:color w:val="auto"/>
              </w:rPr>
            </w:pPr>
          </w:p>
        </w:tc>
        <w:tc>
          <w:tcPr>
            <w:tcW w:w="680" w:type="dxa"/>
            <w:vAlign w:val="bottom"/>
            <w:tcBorders>
              <w:right w:val="single" w:sz="8" w:color="2D53A6"/>
            </w:tcBorders>
          </w:tcPr>
          <w:p>
            <w:pPr>
              <w:spacing w:after="0"/>
              <w:rPr>
                <w:sz w:val="15"/>
                <w:szCs w:val="15"/>
                <w:color w:val="auto"/>
              </w:rPr>
            </w:pPr>
          </w:p>
        </w:tc>
        <w:tc>
          <w:tcPr>
            <w:tcW w:w="700" w:type="dxa"/>
            <w:vAlign w:val="bottom"/>
            <w:tcBorders>
              <w:right w:val="single" w:sz="8" w:color="2D53A6"/>
            </w:tcBorders>
          </w:tcPr>
          <w:p>
            <w:pPr>
              <w:spacing w:after="0"/>
              <w:rPr>
                <w:sz w:val="15"/>
                <w:szCs w:val="15"/>
                <w:color w:val="auto"/>
              </w:rPr>
            </w:pPr>
          </w:p>
        </w:tc>
        <w:tc>
          <w:tcPr>
            <w:tcW w:w="660" w:type="dxa"/>
            <w:vAlign w:val="bottom"/>
            <w:tcBorders>
              <w:right w:val="single" w:sz="8" w:color="2D53A6"/>
            </w:tcBorders>
          </w:tcPr>
          <w:p>
            <w:pPr>
              <w:spacing w:after="0"/>
              <w:rPr>
                <w:sz w:val="15"/>
                <w:szCs w:val="15"/>
                <w:color w:val="auto"/>
              </w:rPr>
            </w:pPr>
          </w:p>
        </w:tc>
        <w:tc>
          <w:tcPr>
            <w:tcW w:w="700" w:type="dxa"/>
            <w:vAlign w:val="bottom"/>
            <w:tcBorders>
              <w:right w:val="single" w:sz="8" w:color="2D53A6"/>
            </w:tcBorders>
          </w:tcPr>
          <w:p>
            <w:pPr>
              <w:spacing w:after="0"/>
              <w:rPr>
                <w:sz w:val="15"/>
                <w:szCs w:val="15"/>
                <w:color w:val="auto"/>
              </w:rPr>
            </w:pPr>
          </w:p>
        </w:tc>
        <w:tc>
          <w:tcPr>
            <w:tcW w:w="660" w:type="dxa"/>
            <w:vAlign w:val="bottom"/>
            <w:tcBorders>
              <w:right w:val="single" w:sz="8" w:color="2D53A6"/>
            </w:tcBorders>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40" w:type="dxa"/>
            <w:vAlign w:val="bottom"/>
            <w:tcBorders>
              <w:right w:val="single" w:sz="8" w:color="2D53A6"/>
            </w:tcBorders>
            <w:gridSpan w:val="2"/>
          </w:tcPr>
          <w:p>
            <w:pPr>
              <w:spacing w:after="0" w:line="202" w:lineRule="exact"/>
              <w:rPr>
                <w:sz w:val="20"/>
                <w:szCs w:val="20"/>
                <w:color w:val="auto"/>
              </w:rPr>
            </w:pPr>
            <w:r>
              <w:rPr>
                <w:rFonts w:ascii="Arial" w:cs="Arial" w:eastAsia="Arial" w:hAnsi="Arial"/>
                <w:sz w:val="18"/>
                <w:szCs w:val="18"/>
                <w:color w:val="auto"/>
              </w:rPr>
              <w:t>executive in operational roles, with complex global operations</w:t>
            </w:r>
          </w:p>
        </w:tc>
        <w:tc>
          <w:tcPr>
            <w:tcW w:w="700" w:type="dxa"/>
            <w:vAlign w:val="bottom"/>
            <w:tcBorders>
              <w:right w:val="single" w:sz="8" w:color="2D53A6"/>
            </w:tcBorders>
          </w:tcPr>
          <w:p>
            <w:pPr>
              <w:spacing w:after="0"/>
              <w:rPr>
                <w:sz w:val="17"/>
                <w:szCs w:val="17"/>
                <w:color w:val="auto"/>
              </w:rPr>
            </w:pPr>
          </w:p>
        </w:tc>
        <w:tc>
          <w:tcPr>
            <w:tcW w:w="70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tcPr>
          <w:p>
            <w:pPr>
              <w:spacing w:after="0"/>
              <w:rPr>
                <w:sz w:val="17"/>
                <w:szCs w:val="17"/>
                <w:color w:val="auto"/>
              </w:rPr>
            </w:pPr>
          </w:p>
        </w:tc>
        <w:tc>
          <w:tcPr>
            <w:tcW w:w="68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tcPr>
          <w:p>
            <w:pPr>
              <w:spacing w:after="0"/>
              <w:rPr>
                <w:sz w:val="17"/>
                <w:szCs w:val="17"/>
                <w:color w:val="auto"/>
              </w:rPr>
            </w:pPr>
          </w:p>
        </w:tc>
        <w:tc>
          <w:tcPr>
            <w:tcW w:w="66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940" w:type="dxa"/>
            <w:vAlign w:val="bottom"/>
            <w:tcBorders>
              <w:bottom w:val="single" w:sz="8" w:color="2D53A6"/>
              <w:right w:val="single" w:sz="8" w:color="2D53A6"/>
            </w:tcBorders>
            <w:gridSpan w:val="2"/>
          </w:tcPr>
          <w:p>
            <w:pPr>
              <w:spacing w:after="0"/>
              <w:rPr>
                <w:sz w:val="20"/>
                <w:szCs w:val="20"/>
                <w:color w:val="auto"/>
              </w:rPr>
            </w:pPr>
            <w:r>
              <w:rPr>
                <w:rFonts w:ascii="Arial" w:cs="Arial" w:eastAsia="Arial" w:hAnsi="Arial"/>
                <w:sz w:val="18"/>
                <w:szCs w:val="18"/>
                <w:color w:val="auto"/>
              </w:rPr>
              <w:t>and supply chain</w:t>
            </w:r>
          </w:p>
        </w:tc>
        <w:tc>
          <w:tcPr>
            <w:tcW w:w="700" w:type="dxa"/>
            <w:vAlign w:val="bottom"/>
            <w:tcBorders>
              <w:bottom w:val="single" w:sz="8" w:color="2D53A6"/>
              <w:right w:val="single" w:sz="8" w:color="2D53A6"/>
            </w:tcBorders>
          </w:tcPr>
          <w:p>
            <w:pPr>
              <w:spacing w:after="0"/>
              <w:rPr>
                <w:sz w:val="19"/>
                <w:szCs w:val="19"/>
                <w:color w:val="auto"/>
              </w:rPr>
            </w:pPr>
          </w:p>
        </w:tc>
        <w:tc>
          <w:tcPr>
            <w:tcW w:w="700" w:type="dxa"/>
            <w:vAlign w:val="bottom"/>
            <w:tcBorders>
              <w:bottom w:val="single" w:sz="8" w:color="2D53A6"/>
              <w:right w:val="single" w:sz="8" w:color="2D53A6"/>
            </w:tcBorders>
          </w:tcPr>
          <w:p>
            <w:pPr>
              <w:spacing w:after="0"/>
              <w:rPr>
                <w:sz w:val="19"/>
                <w:szCs w:val="19"/>
                <w:color w:val="auto"/>
              </w:rPr>
            </w:pPr>
          </w:p>
        </w:tc>
        <w:tc>
          <w:tcPr>
            <w:tcW w:w="700" w:type="dxa"/>
            <w:vAlign w:val="bottom"/>
            <w:tcBorders>
              <w:bottom w:val="single" w:sz="8" w:color="2D53A6"/>
              <w:right w:val="single" w:sz="8" w:color="2D53A6"/>
            </w:tcBorders>
          </w:tcPr>
          <w:p>
            <w:pPr>
              <w:spacing w:after="0"/>
              <w:rPr>
                <w:sz w:val="19"/>
                <w:szCs w:val="19"/>
                <w:color w:val="auto"/>
              </w:rPr>
            </w:pPr>
          </w:p>
        </w:tc>
        <w:tc>
          <w:tcPr>
            <w:tcW w:w="680" w:type="dxa"/>
            <w:vAlign w:val="bottom"/>
            <w:tcBorders>
              <w:bottom w:val="single" w:sz="8" w:color="2D53A6"/>
              <w:right w:val="single" w:sz="8" w:color="2D53A6"/>
            </w:tcBorders>
          </w:tcPr>
          <w:p>
            <w:pPr>
              <w:spacing w:after="0"/>
              <w:rPr>
                <w:sz w:val="19"/>
                <w:szCs w:val="19"/>
                <w:color w:val="auto"/>
              </w:rPr>
            </w:pPr>
          </w:p>
        </w:tc>
        <w:tc>
          <w:tcPr>
            <w:tcW w:w="700" w:type="dxa"/>
            <w:vAlign w:val="bottom"/>
            <w:tcBorders>
              <w:bottom w:val="single" w:sz="8" w:color="2D53A6"/>
              <w:right w:val="single" w:sz="8" w:color="2D53A6"/>
            </w:tcBorders>
          </w:tcPr>
          <w:p>
            <w:pPr>
              <w:spacing w:after="0"/>
              <w:rPr>
                <w:sz w:val="19"/>
                <w:szCs w:val="19"/>
                <w:color w:val="auto"/>
              </w:rPr>
            </w:pPr>
          </w:p>
        </w:tc>
        <w:tc>
          <w:tcPr>
            <w:tcW w:w="660" w:type="dxa"/>
            <w:vAlign w:val="bottom"/>
            <w:tcBorders>
              <w:bottom w:val="single" w:sz="8" w:color="2D53A6"/>
              <w:right w:val="single" w:sz="8" w:color="2D53A6"/>
            </w:tcBorders>
          </w:tcPr>
          <w:p>
            <w:pPr>
              <w:spacing w:after="0"/>
              <w:rPr>
                <w:sz w:val="19"/>
                <w:szCs w:val="19"/>
                <w:color w:val="auto"/>
              </w:rPr>
            </w:pPr>
          </w:p>
        </w:tc>
        <w:tc>
          <w:tcPr>
            <w:tcW w:w="700" w:type="dxa"/>
            <w:vAlign w:val="bottom"/>
            <w:tcBorders>
              <w:bottom w:val="single" w:sz="8" w:color="2D53A6"/>
              <w:right w:val="single" w:sz="8" w:color="2D53A6"/>
            </w:tcBorders>
          </w:tcPr>
          <w:p>
            <w:pPr>
              <w:spacing w:after="0"/>
              <w:rPr>
                <w:sz w:val="19"/>
                <w:szCs w:val="19"/>
                <w:color w:val="auto"/>
              </w:rPr>
            </w:pPr>
          </w:p>
        </w:tc>
        <w:tc>
          <w:tcPr>
            <w:tcW w:w="660" w:type="dxa"/>
            <w:vAlign w:val="bottom"/>
            <w:tcBorders>
              <w:bottom w:val="single" w:sz="8" w:color="2D53A6"/>
              <w:right w:val="single" w:sz="8" w:color="2D53A6"/>
            </w:tcBorders>
          </w:tcPr>
          <w:p>
            <w:pPr>
              <w:spacing w:after="0"/>
              <w:rPr>
                <w:sz w:val="19"/>
                <w:szCs w:val="19"/>
                <w:color w:val="auto"/>
              </w:rPr>
            </w:pPr>
          </w:p>
        </w:tc>
        <w:tc>
          <w:tcPr>
            <w:tcW w:w="800" w:type="dxa"/>
            <w:vAlign w:val="bottom"/>
            <w:tcBorders>
              <w:bottom w:val="single" w:sz="8" w:color="2D53A6"/>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940" w:type="dxa"/>
            <w:vAlign w:val="bottom"/>
            <w:tcBorders>
              <w:right w:val="single" w:sz="8" w:color="2D53A6"/>
            </w:tcBorders>
            <w:gridSpan w:val="2"/>
            <w:shd w:val="clear" w:color="auto" w:fill="E6E6E6"/>
          </w:tcPr>
          <w:p>
            <w:pPr>
              <w:spacing w:after="0" w:line="177" w:lineRule="exact"/>
              <w:rPr>
                <w:sz w:val="20"/>
                <w:szCs w:val="20"/>
                <w:color w:val="auto"/>
              </w:rPr>
            </w:pPr>
            <w:r>
              <w:rPr>
                <w:rFonts w:ascii="Arial" w:cs="Arial" w:eastAsia="Arial" w:hAnsi="Arial"/>
                <w:sz w:val="18"/>
                <w:szCs w:val="18"/>
                <w:b w:val="1"/>
                <w:bCs w:val="1"/>
                <w:color w:val="auto"/>
              </w:rPr>
              <w:t xml:space="preserve">Human Capital Management Experience </w:t>
            </w:r>
            <w:r>
              <w:rPr>
                <w:rFonts w:ascii="Arial" w:cs="Arial" w:eastAsia="Arial" w:hAnsi="Arial"/>
                <w:sz w:val="18"/>
                <w:szCs w:val="18"/>
                <w:color w:val="auto"/>
              </w:rPr>
              <w:t>– Experience</w:t>
            </w:r>
          </w:p>
        </w:tc>
        <w:tc>
          <w:tcPr>
            <w:tcW w:w="700" w:type="dxa"/>
            <w:vAlign w:val="bottom"/>
            <w:tcBorders>
              <w:right w:val="single" w:sz="8" w:color="2D53A6"/>
            </w:tcBorders>
            <w:shd w:val="clear" w:color="auto" w:fill="E6E6E6"/>
          </w:tcPr>
          <w:p>
            <w:pPr>
              <w:spacing w:after="0"/>
              <w:rPr>
                <w:sz w:val="15"/>
                <w:szCs w:val="15"/>
                <w:color w:val="auto"/>
              </w:rPr>
            </w:pPr>
          </w:p>
        </w:tc>
        <w:tc>
          <w:tcPr>
            <w:tcW w:w="700" w:type="dxa"/>
            <w:vAlign w:val="bottom"/>
            <w:tcBorders>
              <w:right w:val="single" w:sz="8" w:color="2D53A6"/>
            </w:tcBorders>
            <w:shd w:val="clear" w:color="auto" w:fill="E6E6E6"/>
          </w:tcPr>
          <w:p>
            <w:pPr>
              <w:spacing w:after="0"/>
              <w:rPr>
                <w:sz w:val="15"/>
                <w:szCs w:val="15"/>
                <w:color w:val="auto"/>
              </w:rPr>
            </w:pPr>
          </w:p>
        </w:tc>
        <w:tc>
          <w:tcPr>
            <w:tcW w:w="700" w:type="dxa"/>
            <w:vAlign w:val="bottom"/>
            <w:tcBorders>
              <w:right w:val="single" w:sz="8" w:color="2D53A6"/>
            </w:tcBorders>
            <w:shd w:val="clear" w:color="auto" w:fill="E6E6E6"/>
          </w:tcPr>
          <w:p>
            <w:pPr>
              <w:spacing w:after="0"/>
              <w:rPr>
                <w:sz w:val="15"/>
                <w:szCs w:val="15"/>
                <w:color w:val="auto"/>
              </w:rPr>
            </w:pPr>
          </w:p>
        </w:tc>
        <w:tc>
          <w:tcPr>
            <w:tcW w:w="680" w:type="dxa"/>
            <w:vAlign w:val="bottom"/>
            <w:tcBorders>
              <w:right w:val="single" w:sz="8" w:color="2D53A6"/>
            </w:tcBorders>
            <w:shd w:val="clear" w:color="auto" w:fill="E6E6E6"/>
          </w:tcPr>
          <w:p>
            <w:pPr>
              <w:spacing w:after="0"/>
              <w:rPr>
                <w:sz w:val="15"/>
                <w:szCs w:val="15"/>
                <w:color w:val="auto"/>
              </w:rPr>
            </w:pPr>
          </w:p>
        </w:tc>
        <w:tc>
          <w:tcPr>
            <w:tcW w:w="700" w:type="dxa"/>
            <w:vAlign w:val="bottom"/>
            <w:tcBorders>
              <w:right w:val="single" w:sz="8" w:color="2D53A6"/>
            </w:tcBorders>
            <w:shd w:val="clear" w:color="auto" w:fill="E6E6E6"/>
          </w:tcPr>
          <w:p>
            <w:pPr>
              <w:spacing w:after="0"/>
              <w:rPr>
                <w:sz w:val="15"/>
                <w:szCs w:val="15"/>
                <w:color w:val="auto"/>
              </w:rPr>
            </w:pPr>
          </w:p>
        </w:tc>
        <w:tc>
          <w:tcPr>
            <w:tcW w:w="660" w:type="dxa"/>
            <w:vAlign w:val="bottom"/>
            <w:tcBorders>
              <w:right w:val="single" w:sz="8" w:color="2D53A6"/>
            </w:tcBorders>
            <w:shd w:val="clear" w:color="auto" w:fill="E6E6E6"/>
          </w:tcPr>
          <w:p>
            <w:pPr>
              <w:spacing w:after="0"/>
              <w:rPr>
                <w:sz w:val="15"/>
                <w:szCs w:val="15"/>
                <w:color w:val="auto"/>
              </w:rPr>
            </w:pPr>
          </w:p>
        </w:tc>
        <w:tc>
          <w:tcPr>
            <w:tcW w:w="700" w:type="dxa"/>
            <w:vAlign w:val="bottom"/>
            <w:tcBorders>
              <w:right w:val="single" w:sz="8" w:color="2D53A6"/>
            </w:tcBorders>
            <w:shd w:val="clear" w:color="auto" w:fill="E6E6E6"/>
          </w:tcPr>
          <w:p>
            <w:pPr>
              <w:spacing w:after="0"/>
              <w:rPr>
                <w:sz w:val="15"/>
                <w:szCs w:val="15"/>
                <w:color w:val="auto"/>
              </w:rPr>
            </w:pPr>
          </w:p>
        </w:tc>
        <w:tc>
          <w:tcPr>
            <w:tcW w:w="660" w:type="dxa"/>
            <w:vAlign w:val="bottom"/>
            <w:tcBorders>
              <w:right w:val="single" w:sz="8" w:color="2D53A6"/>
            </w:tcBorders>
            <w:shd w:val="clear" w:color="auto" w:fill="E6E6E6"/>
          </w:tcPr>
          <w:p>
            <w:pPr>
              <w:spacing w:after="0"/>
              <w:rPr>
                <w:sz w:val="15"/>
                <w:szCs w:val="15"/>
                <w:color w:val="auto"/>
              </w:rPr>
            </w:pPr>
          </w:p>
        </w:tc>
        <w:tc>
          <w:tcPr>
            <w:tcW w:w="80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40" w:type="dxa"/>
            <w:vAlign w:val="bottom"/>
            <w:tcBorders>
              <w:right w:val="single" w:sz="8" w:color="2D53A6"/>
            </w:tcBorders>
            <w:gridSpan w:val="2"/>
            <w:shd w:val="clear" w:color="auto" w:fill="E6E6E6"/>
          </w:tcPr>
          <w:p>
            <w:pPr>
              <w:spacing w:after="0" w:line="202" w:lineRule="exact"/>
              <w:rPr>
                <w:sz w:val="20"/>
                <w:szCs w:val="20"/>
                <w:color w:val="auto"/>
              </w:rPr>
            </w:pPr>
            <w:r>
              <w:rPr>
                <w:rFonts w:ascii="Arial" w:cs="Arial" w:eastAsia="Arial" w:hAnsi="Arial"/>
                <w:sz w:val="18"/>
                <w:szCs w:val="18"/>
                <w:color w:val="auto"/>
              </w:rPr>
              <w:t>serving as a member of the compensation committee of a</w:t>
            </w:r>
          </w:p>
        </w:tc>
        <w:tc>
          <w:tcPr>
            <w:tcW w:w="70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68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66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660" w:type="dxa"/>
            <w:vAlign w:val="bottom"/>
            <w:tcBorders>
              <w:right w:val="single" w:sz="8" w:color="2D53A6"/>
            </w:tcBorders>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Borders>
              <w:right w:val="single" w:sz="8" w:color="2D53A6"/>
            </w:tcBorders>
            <w:gridSpan w:val="2"/>
            <w:shd w:val="clear" w:color="auto" w:fill="E6E6E6"/>
          </w:tcPr>
          <w:p>
            <w:pPr>
              <w:spacing w:after="0" w:line="202" w:lineRule="exact"/>
              <w:rPr>
                <w:sz w:val="20"/>
                <w:szCs w:val="20"/>
                <w:color w:val="auto"/>
              </w:rPr>
            </w:pPr>
            <w:r>
              <w:rPr>
                <w:rFonts w:ascii="Arial" w:cs="Arial" w:eastAsia="Arial" w:hAnsi="Arial"/>
                <w:sz w:val="18"/>
                <w:szCs w:val="18"/>
                <w:color w:val="auto"/>
              </w:rPr>
              <w:t>public company, head of human resources, or as direct</w:t>
            </w:r>
          </w:p>
        </w:tc>
        <w:tc>
          <w:tcPr>
            <w:tcW w:w="70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68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66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660" w:type="dxa"/>
            <w:vAlign w:val="bottom"/>
            <w:tcBorders>
              <w:right w:val="single" w:sz="8" w:color="2D53A6"/>
            </w:tcBorders>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Borders>
              <w:right w:val="single" w:sz="8" w:color="2D53A6"/>
            </w:tcBorders>
            <w:gridSpan w:val="2"/>
            <w:shd w:val="clear" w:color="auto" w:fill="E6E6E6"/>
          </w:tcPr>
          <w:p>
            <w:pPr>
              <w:spacing w:after="0" w:line="202" w:lineRule="exact"/>
              <w:rPr>
                <w:sz w:val="20"/>
                <w:szCs w:val="20"/>
                <w:color w:val="auto"/>
              </w:rPr>
            </w:pPr>
            <w:r>
              <w:rPr>
                <w:rFonts w:ascii="Arial" w:cs="Arial" w:eastAsia="Arial" w:hAnsi="Arial"/>
                <w:sz w:val="18"/>
                <w:szCs w:val="18"/>
                <w:color w:val="auto"/>
              </w:rPr>
              <w:t>manager of the head of human resources, or other</w:t>
            </w:r>
          </w:p>
        </w:tc>
        <w:tc>
          <w:tcPr>
            <w:tcW w:w="700" w:type="dxa"/>
            <w:vAlign w:val="bottom"/>
            <w:tcBorders>
              <w:right w:val="single" w:sz="8" w:color="2D53A6"/>
            </w:tcBorders>
            <w:shd w:val="clear" w:color="auto" w:fill="E6E6E6"/>
          </w:tcPr>
          <w:p>
            <w:pPr>
              <w:jc w:val="cente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shd w:val="clear" w:color="auto" w:fill="E6E6E6"/>
          </w:tcPr>
          <w:p>
            <w:pPr>
              <w:jc w:val="cente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shd w:val="clear" w:color="auto" w:fill="E6E6E6"/>
          </w:tcPr>
          <w:p>
            <w:pPr>
              <w:spacing w:after="0"/>
              <w:rPr>
                <w:sz w:val="17"/>
                <w:szCs w:val="17"/>
                <w:color w:val="auto"/>
              </w:rPr>
            </w:pPr>
          </w:p>
        </w:tc>
        <w:tc>
          <w:tcPr>
            <w:tcW w:w="680" w:type="dxa"/>
            <w:vAlign w:val="bottom"/>
            <w:tcBorders>
              <w:right w:val="single" w:sz="8" w:color="2D53A6"/>
            </w:tcBorders>
            <w:shd w:val="clear" w:color="auto" w:fill="E6E6E6"/>
          </w:tcPr>
          <w:p>
            <w:pPr>
              <w:jc w:val="cente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shd w:val="clear" w:color="auto" w:fill="E6E6E6"/>
          </w:tcPr>
          <w:p>
            <w:pPr>
              <w:jc w:val="center"/>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shd w:val="clear" w:color="auto" w:fill="E6E6E6"/>
          </w:tcPr>
          <w:p>
            <w:pPr>
              <w:jc w:val="cente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shd w:val="clear" w:color="auto" w:fill="E6E6E6"/>
          </w:tcPr>
          <w:p>
            <w:pPr>
              <w:jc w:val="center"/>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shd w:val="clear" w:color="auto" w:fill="E6E6E6"/>
          </w:tcPr>
          <w:p>
            <w:pPr>
              <w:jc w:val="center"/>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cente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tcBorders>
              <w:right w:val="single" w:sz="8" w:color="2D53A6"/>
            </w:tcBorders>
            <w:gridSpan w:val="2"/>
            <w:shd w:val="clear" w:color="auto" w:fill="E6E6E6"/>
          </w:tcPr>
          <w:p>
            <w:pPr>
              <w:spacing w:after="0" w:line="202" w:lineRule="exact"/>
              <w:rPr>
                <w:sz w:val="20"/>
                <w:szCs w:val="20"/>
                <w:color w:val="auto"/>
              </w:rPr>
            </w:pPr>
            <w:r>
              <w:rPr>
                <w:rFonts w:ascii="Arial" w:cs="Arial" w:eastAsia="Arial" w:hAnsi="Arial"/>
                <w:sz w:val="18"/>
                <w:szCs w:val="18"/>
                <w:color w:val="auto"/>
              </w:rPr>
              <w:t>experience in setting HCM policies in large organizations,</w:t>
            </w:r>
          </w:p>
        </w:tc>
        <w:tc>
          <w:tcPr>
            <w:tcW w:w="70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68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66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660" w:type="dxa"/>
            <w:vAlign w:val="bottom"/>
            <w:tcBorders>
              <w:right w:val="single" w:sz="8" w:color="2D53A6"/>
            </w:tcBorders>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Borders>
              <w:right w:val="single" w:sz="8" w:color="2D53A6"/>
            </w:tcBorders>
            <w:gridSpan w:val="2"/>
            <w:shd w:val="clear" w:color="auto" w:fill="E6E6E6"/>
          </w:tcPr>
          <w:p>
            <w:pPr>
              <w:spacing w:after="0" w:line="202" w:lineRule="exact"/>
              <w:rPr>
                <w:sz w:val="20"/>
                <w:szCs w:val="20"/>
                <w:color w:val="auto"/>
              </w:rPr>
            </w:pPr>
            <w:r>
              <w:rPr>
                <w:rFonts w:ascii="Arial" w:cs="Arial" w:eastAsia="Arial" w:hAnsi="Arial"/>
                <w:sz w:val="18"/>
                <w:szCs w:val="18"/>
                <w:color w:val="auto"/>
              </w:rPr>
              <w:t>including recruiting, retention, compensation, organizational</w:t>
            </w:r>
          </w:p>
        </w:tc>
        <w:tc>
          <w:tcPr>
            <w:tcW w:w="70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68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66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660" w:type="dxa"/>
            <w:vAlign w:val="bottom"/>
            <w:tcBorders>
              <w:right w:val="single" w:sz="8" w:color="2D53A6"/>
            </w:tcBorders>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940" w:type="dxa"/>
            <w:vAlign w:val="bottom"/>
            <w:tcBorders>
              <w:bottom w:val="single" w:sz="8" w:color="2D53A6"/>
              <w:right w:val="single" w:sz="8" w:color="2D53A6"/>
            </w:tcBorders>
            <w:gridSpan w:val="2"/>
            <w:shd w:val="clear" w:color="auto" w:fill="E6E6E6"/>
          </w:tcPr>
          <w:p>
            <w:pPr>
              <w:spacing w:after="0"/>
              <w:rPr>
                <w:sz w:val="20"/>
                <w:szCs w:val="20"/>
                <w:color w:val="auto"/>
              </w:rPr>
            </w:pPr>
            <w:r>
              <w:rPr>
                <w:rFonts w:ascii="Arial" w:cs="Arial" w:eastAsia="Arial" w:hAnsi="Arial"/>
                <w:sz w:val="18"/>
                <w:szCs w:val="18"/>
                <w:color w:val="auto"/>
              </w:rPr>
              <w:t>planning and leadership development</w:t>
            </w:r>
          </w:p>
        </w:tc>
        <w:tc>
          <w:tcPr>
            <w:tcW w:w="700" w:type="dxa"/>
            <w:vAlign w:val="bottom"/>
            <w:tcBorders>
              <w:bottom w:val="single" w:sz="8" w:color="2D53A6"/>
              <w:right w:val="single" w:sz="8" w:color="2D53A6"/>
            </w:tcBorders>
            <w:shd w:val="clear" w:color="auto" w:fill="E6E6E6"/>
          </w:tcPr>
          <w:p>
            <w:pPr>
              <w:spacing w:after="0"/>
              <w:rPr>
                <w:sz w:val="19"/>
                <w:szCs w:val="19"/>
                <w:color w:val="auto"/>
              </w:rPr>
            </w:pPr>
          </w:p>
        </w:tc>
        <w:tc>
          <w:tcPr>
            <w:tcW w:w="700" w:type="dxa"/>
            <w:vAlign w:val="bottom"/>
            <w:tcBorders>
              <w:bottom w:val="single" w:sz="8" w:color="2D53A6"/>
              <w:right w:val="single" w:sz="8" w:color="2D53A6"/>
            </w:tcBorders>
            <w:shd w:val="clear" w:color="auto" w:fill="E6E6E6"/>
          </w:tcPr>
          <w:p>
            <w:pPr>
              <w:spacing w:after="0"/>
              <w:rPr>
                <w:sz w:val="19"/>
                <w:szCs w:val="19"/>
                <w:color w:val="auto"/>
              </w:rPr>
            </w:pPr>
          </w:p>
        </w:tc>
        <w:tc>
          <w:tcPr>
            <w:tcW w:w="700" w:type="dxa"/>
            <w:vAlign w:val="bottom"/>
            <w:tcBorders>
              <w:bottom w:val="single" w:sz="8" w:color="2D53A6"/>
              <w:right w:val="single" w:sz="8" w:color="2D53A6"/>
            </w:tcBorders>
            <w:shd w:val="clear" w:color="auto" w:fill="E6E6E6"/>
          </w:tcPr>
          <w:p>
            <w:pPr>
              <w:spacing w:after="0"/>
              <w:rPr>
                <w:sz w:val="19"/>
                <w:szCs w:val="19"/>
                <w:color w:val="auto"/>
              </w:rPr>
            </w:pPr>
          </w:p>
        </w:tc>
        <w:tc>
          <w:tcPr>
            <w:tcW w:w="680" w:type="dxa"/>
            <w:vAlign w:val="bottom"/>
            <w:tcBorders>
              <w:bottom w:val="single" w:sz="8" w:color="2D53A6"/>
              <w:right w:val="single" w:sz="8" w:color="2D53A6"/>
            </w:tcBorders>
            <w:shd w:val="clear" w:color="auto" w:fill="E6E6E6"/>
          </w:tcPr>
          <w:p>
            <w:pPr>
              <w:spacing w:after="0"/>
              <w:rPr>
                <w:sz w:val="19"/>
                <w:szCs w:val="19"/>
                <w:color w:val="auto"/>
              </w:rPr>
            </w:pPr>
          </w:p>
        </w:tc>
        <w:tc>
          <w:tcPr>
            <w:tcW w:w="700" w:type="dxa"/>
            <w:vAlign w:val="bottom"/>
            <w:tcBorders>
              <w:bottom w:val="single" w:sz="8" w:color="2D53A6"/>
              <w:right w:val="single" w:sz="8" w:color="2D53A6"/>
            </w:tcBorders>
            <w:shd w:val="clear" w:color="auto" w:fill="E6E6E6"/>
          </w:tcPr>
          <w:p>
            <w:pPr>
              <w:spacing w:after="0"/>
              <w:rPr>
                <w:sz w:val="19"/>
                <w:szCs w:val="19"/>
                <w:color w:val="auto"/>
              </w:rPr>
            </w:pPr>
          </w:p>
        </w:tc>
        <w:tc>
          <w:tcPr>
            <w:tcW w:w="660" w:type="dxa"/>
            <w:vAlign w:val="bottom"/>
            <w:tcBorders>
              <w:bottom w:val="single" w:sz="8" w:color="2D53A6"/>
              <w:right w:val="single" w:sz="8" w:color="2D53A6"/>
            </w:tcBorders>
            <w:shd w:val="clear" w:color="auto" w:fill="E6E6E6"/>
          </w:tcPr>
          <w:p>
            <w:pPr>
              <w:spacing w:after="0"/>
              <w:rPr>
                <w:sz w:val="19"/>
                <w:szCs w:val="19"/>
                <w:color w:val="auto"/>
              </w:rPr>
            </w:pPr>
          </w:p>
        </w:tc>
        <w:tc>
          <w:tcPr>
            <w:tcW w:w="700" w:type="dxa"/>
            <w:vAlign w:val="bottom"/>
            <w:tcBorders>
              <w:bottom w:val="single" w:sz="8" w:color="2D53A6"/>
              <w:right w:val="single" w:sz="8" w:color="2D53A6"/>
            </w:tcBorders>
            <w:shd w:val="clear" w:color="auto" w:fill="E6E6E6"/>
          </w:tcPr>
          <w:p>
            <w:pPr>
              <w:spacing w:after="0"/>
              <w:rPr>
                <w:sz w:val="19"/>
                <w:szCs w:val="19"/>
                <w:color w:val="auto"/>
              </w:rPr>
            </w:pPr>
          </w:p>
        </w:tc>
        <w:tc>
          <w:tcPr>
            <w:tcW w:w="660" w:type="dxa"/>
            <w:vAlign w:val="bottom"/>
            <w:tcBorders>
              <w:bottom w:val="single" w:sz="8" w:color="2D53A6"/>
              <w:right w:val="single" w:sz="8" w:color="2D53A6"/>
            </w:tcBorders>
            <w:shd w:val="clear" w:color="auto" w:fill="E6E6E6"/>
          </w:tcPr>
          <w:p>
            <w:pPr>
              <w:spacing w:after="0"/>
              <w:rPr>
                <w:sz w:val="19"/>
                <w:szCs w:val="19"/>
                <w:color w:val="auto"/>
              </w:rPr>
            </w:pPr>
          </w:p>
        </w:tc>
        <w:tc>
          <w:tcPr>
            <w:tcW w:w="800" w:type="dxa"/>
            <w:vAlign w:val="bottom"/>
            <w:tcBorders>
              <w:bottom w:val="single" w:sz="8" w:color="2D53A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940" w:type="dxa"/>
            <w:vAlign w:val="bottom"/>
            <w:tcBorders>
              <w:right w:val="single" w:sz="8" w:color="2D53A6"/>
            </w:tcBorders>
            <w:gridSpan w:val="2"/>
          </w:tcPr>
          <w:p>
            <w:pPr>
              <w:spacing w:after="0" w:line="177" w:lineRule="exact"/>
              <w:rPr>
                <w:sz w:val="20"/>
                <w:szCs w:val="20"/>
                <w:color w:val="auto"/>
              </w:rPr>
            </w:pPr>
            <w:r>
              <w:rPr>
                <w:rFonts w:ascii="Arial" w:cs="Arial" w:eastAsia="Arial" w:hAnsi="Arial"/>
                <w:sz w:val="18"/>
                <w:szCs w:val="18"/>
                <w:b w:val="1"/>
                <w:bCs w:val="1"/>
                <w:color w:val="auto"/>
              </w:rPr>
              <w:t>Mergers and Acquisitions (</w:t>
            </w:r>
            <w:r>
              <w:rPr>
                <w:rFonts w:ascii="Arial" w:cs="Arial" w:eastAsia="Arial" w:hAnsi="Arial"/>
                <w:sz w:val="18"/>
                <w:szCs w:val="18"/>
                <w:color w:val="auto"/>
              </w:rPr>
              <w:t>“</w:t>
            </w:r>
            <w:r>
              <w:rPr>
                <w:rFonts w:ascii="Arial" w:cs="Arial" w:eastAsia="Arial" w:hAnsi="Arial"/>
                <w:sz w:val="18"/>
                <w:szCs w:val="18"/>
                <w:b w:val="1"/>
                <w:bCs w:val="1"/>
                <w:color w:val="auto"/>
              </w:rPr>
              <w:t>M&amp;A</w:t>
            </w:r>
            <w:r>
              <w:rPr>
                <w:rFonts w:ascii="Arial" w:cs="Arial" w:eastAsia="Arial" w:hAnsi="Arial"/>
                <w:sz w:val="18"/>
                <w:szCs w:val="18"/>
                <w:color w:val="auto"/>
              </w:rPr>
              <w:t>”</w:t>
            </w:r>
            <w:r>
              <w:rPr>
                <w:rFonts w:ascii="Arial" w:cs="Arial" w:eastAsia="Arial" w:hAnsi="Arial"/>
                <w:sz w:val="18"/>
                <w:szCs w:val="18"/>
                <w:b w:val="1"/>
                <w:bCs w:val="1"/>
                <w:color w:val="auto"/>
              </w:rPr>
              <w:t xml:space="preserve">) Experience </w:t>
            </w:r>
            <w:r>
              <w:rPr>
                <w:rFonts w:ascii="Arial" w:cs="Arial" w:eastAsia="Arial" w:hAnsi="Arial"/>
                <w:sz w:val="18"/>
                <w:szCs w:val="18"/>
                <w:color w:val="auto"/>
              </w:rPr>
              <w:t>– M&amp;A and</w:t>
            </w:r>
          </w:p>
        </w:tc>
        <w:tc>
          <w:tcPr>
            <w:tcW w:w="700" w:type="dxa"/>
            <w:vAlign w:val="bottom"/>
            <w:tcBorders>
              <w:right w:val="single" w:sz="8" w:color="2D53A6"/>
            </w:tcBorders>
          </w:tcPr>
          <w:p>
            <w:pPr>
              <w:spacing w:after="0"/>
              <w:rPr>
                <w:sz w:val="15"/>
                <w:szCs w:val="15"/>
                <w:color w:val="auto"/>
              </w:rPr>
            </w:pPr>
          </w:p>
        </w:tc>
        <w:tc>
          <w:tcPr>
            <w:tcW w:w="700" w:type="dxa"/>
            <w:vAlign w:val="bottom"/>
            <w:tcBorders>
              <w:right w:val="single" w:sz="8" w:color="2D53A6"/>
            </w:tcBorders>
          </w:tcPr>
          <w:p>
            <w:pPr>
              <w:spacing w:after="0"/>
              <w:rPr>
                <w:sz w:val="15"/>
                <w:szCs w:val="15"/>
                <w:color w:val="auto"/>
              </w:rPr>
            </w:pPr>
          </w:p>
        </w:tc>
        <w:tc>
          <w:tcPr>
            <w:tcW w:w="700" w:type="dxa"/>
            <w:vAlign w:val="bottom"/>
            <w:tcBorders>
              <w:right w:val="single" w:sz="8" w:color="2D53A6"/>
            </w:tcBorders>
          </w:tcPr>
          <w:p>
            <w:pPr>
              <w:spacing w:after="0"/>
              <w:rPr>
                <w:sz w:val="15"/>
                <w:szCs w:val="15"/>
                <w:color w:val="auto"/>
              </w:rPr>
            </w:pPr>
          </w:p>
        </w:tc>
        <w:tc>
          <w:tcPr>
            <w:tcW w:w="680" w:type="dxa"/>
            <w:vAlign w:val="bottom"/>
            <w:tcBorders>
              <w:right w:val="single" w:sz="8" w:color="2D53A6"/>
            </w:tcBorders>
          </w:tcPr>
          <w:p>
            <w:pPr>
              <w:spacing w:after="0"/>
              <w:rPr>
                <w:sz w:val="15"/>
                <w:szCs w:val="15"/>
                <w:color w:val="auto"/>
              </w:rPr>
            </w:pPr>
          </w:p>
        </w:tc>
        <w:tc>
          <w:tcPr>
            <w:tcW w:w="700" w:type="dxa"/>
            <w:vAlign w:val="bottom"/>
            <w:tcBorders>
              <w:right w:val="single" w:sz="8" w:color="2D53A6"/>
            </w:tcBorders>
          </w:tcPr>
          <w:p>
            <w:pPr>
              <w:spacing w:after="0"/>
              <w:rPr>
                <w:sz w:val="15"/>
                <w:szCs w:val="15"/>
                <w:color w:val="auto"/>
              </w:rPr>
            </w:pPr>
          </w:p>
        </w:tc>
        <w:tc>
          <w:tcPr>
            <w:tcW w:w="660" w:type="dxa"/>
            <w:vAlign w:val="bottom"/>
            <w:tcBorders>
              <w:right w:val="single" w:sz="8" w:color="2D53A6"/>
            </w:tcBorders>
          </w:tcPr>
          <w:p>
            <w:pPr>
              <w:spacing w:after="0"/>
              <w:rPr>
                <w:sz w:val="15"/>
                <w:szCs w:val="15"/>
                <w:color w:val="auto"/>
              </w:rPr>
            </w:pPr>
          </w:p>
        </w:tc>
        <w:tc>
          <w:tcPr>
            <w:tcW w:w="700" w:type="dxa"/>
            <w:vAlign w:val="bottom"/>
            <w:tcBorders>
              <w:right w:val="single" w:sz="8" w:color="2D53A6"/>
            </w:tcBorders>
          </w:tcPr>
          <w:p>
            <w:pPr>
              <w:spacing w:after="0"/>
              <w:rPr>
                <w:sz w:val="15"/>
                <w:szCs w:val="15"/>
                <w:color w:val="auto"/>
              </w:rPr>
            </w:pPr>
          </w:p>
        </w:tc>
        <w:tc>
          <w:tcPr>
            <w:tcW w:w="660" w:type="dxa"/>
            <w:vAlign w:val="bottom"/>
            <w:tcBorders>
              <w:right w:val="single" w:sz="8" w:color="2D53A6"/>
            </w:tcBorders>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40" w:type="dxa"/>
            <w:vAlign w:val="bottom"/>
            <w:tcBorders>
              <w:right w:val="single" w:sz="8" w:color="2D53A6"/>
            </w:tcBorders>
            <w:gridSpan w:val="2"/>
          </w:tcPr>
          <w:p>
            <w:pPr>
              <w:spacing w:after="0" w:line="202" w:lineRule="exact"/>
              <w:rPr>
                <w:sz w:val="20"/>
                <w:szCs w:val="20"/>
                <w:color w:val="auto"/>
              </w:rPr>
            </w:pPr>
            <w:r>
              <w:rPr>
                <w:rFonts w:ascii="Arial" w:cs="Arial" w:eastAsia="Arial" w:hAnsi="Arial"/>
                <w:sz w:val="18"/>
                <w:szCs w:val="18"/>
                <w:color w:val="auto"/>
              </w:rPr>
              <w:t>integration experience (including buy- and sell-side) as a</w:t>
            </w:r>
          </w:p>
        </w:tc>
        <w:tc>
          <w:tcPr>
            <w:tcW w:w="70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tcPr>
          <w:p>
            <w:pPr>
              <w:jc w:val="center"/>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940" w:type="dxa"/>
            <w:vAlign w:val="bottom"/>
            <w:tcBorders>
              <w:bottom w:val="single" w:sz="8" w:color="2D53A6"/>
              <w:right w:val="single" w:sz="8" w:color="2D53A6"/>
            </w:tcBorders>
            <w:gridSpan w:val="2"/>
          </w:tcPr>
          <w:p>
            <w:pPr>
              <w:spacing w:after="0"/>
              <w:rPr>
                <w:sz w:val="20"/>
                <w:szCs w:val="20"/>
                <w:color w:val="auto"/>
              </w:rPr>
            </w:pPr>
            <w:r>
              <w:rPr>
                <w:rFonts w:ascii="Arial" w:cs="Arial" w:eastAsia="Arial" w:hAnsi="Arial"/>
                <w:sz w:val="18"/>
                <w:szCs w:val="18"/>
                <w:color w:val="auto"/>
              </w:rPr>
              <w:t>public company officer</w:t>
            </w:r>
          </w:p>
        </w:tc>
        <w:tc>
          <w:tcPr>
            <w:tcW w:w="700" w:type="dxa"/>
            <w:vAlign w:val="bottom"/>
            <w:tcBorders>
              <w:bottom w:val="single" w:sz="8" w:color="2D53A6"/>
              <w:right w:val="single" w:sz="8" w:color="2D53A6"/>
            </w:tcBorders>
          </w:tcPr>
          <w:p>
            <w:pPr>
              <w:spacing w:after="0"/>
              <w:rPr>
                <w:sz w:val="19"/>
                <w:szCs w:val="19"/>
                <w:color w:val="auto"/>
              </w:rPr>
            </w:pPr>
          </w:p>
        </w:tc>
        <w:tc>
          <w:tcPr>
            <w:tcW w:w="700" w:type="dxa"/>
            <w:vAlign w:val="bottom"/>
            <w:tcBorders>
              <w:bottom w:val="single" w:sz="8" w:color="2D53A6"/>
              <w:right w:val="single" w:sz="8" w:color="2D53A6"/>
            </w:tcBorders>
          </w:tcPr>
          <w:p>
            <w:pPr>
              <w:spacing w:after="0"/>
              <w:rPr>
                <w:sz w:val="19"/>
                <w:szCs w:val="19"/>
                <w:color w:val="auto"/>
              </w:rPr>
            </w:pPr>
          </w:p>
        </w:tc>
        <w:tc>
          <w:tcPr>
            <w:tcW w:w="700" w:type="dxa"/>
            <w:vAlign w:val="bottom"/>
            <w:tcBorders>
              <w:bottom w:val="single" w:sz="8" w:color="2D53A6"/>
              <w:right w:val="single" w:sz="8" w:color="2D53A6"/>
            </w:tcBorders>
          </w:tcPr>
          <w:p>
            <w:pPr>
              <w:spacing w:after="0"/>
              <w:rPr>
                <w:sz w:val="19"/>
                <w:szCs w:val="19"/>
                <w:color w:val="auto"/>
              </w:rPr>
            </w:pPr>
          </w:p>
        </w:tc>
        <w:tc>
          <w:tcPr>
            <w:tcW w:w="680" w:type="dxa"/>
            <w:vAlign w:val="bottom"/>
            <w:tcBorders>
              <w:bottom w:val="single" w:sz="8" w:color="2D53A6"/>
              <w:right w:val="single" w:sz="8" w:color="2D53A6"/>
            </w:tcBorders>
          </w:tcPr>
          <w:p>
            <w:pPr>
              <w:spacing w:after="0"/>
              <w:rPr>
                <w:sz w:val="19"/>
                <w:szCs w:val="19"/>
                <w:color w:val="auto"/>
              </w:rPr>
            </w:pPr>
          </w:p>
        </w:tc>
        <w:tc>
          <w:tcPr>
            <w:tcW w:w="700" w:type="dxa"/>
            <w:vAlign w:val="bottom"/>
            <w:tcBorders>
              <w:bottom w:val="single" w:sz="8" w:color="2D53A6"/>
              <w:right w:val="single" w:sz="8" w:color="2D53A6"/>
            </w:tcBorders>
          </w:tcPr>
          <w:p>
            <w:pPr>
              <w:spacing w:after="0"/>
              <w:rPr>
                <w:sz w:val="19"/>
                <w:szCs w:val="19"/>
                <w:color w:val="auto"/>
              </w:rPr>
            </w:pPr>
          </w:p>
        </w:tc>
        <w:tc>
          <w:tcPr>
            <w:tcW w:w="660" w:type="dxa"/>
            <w:vAlign w:val="bottom"/>
            <w:tcBorders>
              <w:bottom w:val="single" w:sz="8" w:color="2D53A6"/>
              <w:right w:val="single" w:sz="8" w:color="2D53A6"/>
            </w:tcBorders>
          </w:tcPr>
          <w:p>
            <w:pPr>
              <w:spacing w:after="0"/>
              <w:rPr>
                <w:sz w:val="19"/>
                <w:szCs w:val="19"/>
                <w:color w:val="auto"/>
              </w:rPr>
            </w:pPr>
          </w:p>
        </w:tc>
        <w:tc>
          <w:tcPr>
            <w:tcW w:w="700" w:type="dxa"/>
            <w:vAlign w:val="bottom"/>
            <w:tcBorders>
              <w:bottom w:val="single" w:sz="8" w:color="2D53A6"/>
              <w:right w:val="single" w:sz="8" w:color="2D53A6"/>
            </w:tcBorders>
          </w:tcPr>
          <w:p>
            <w:pPr>
              <w:spacing w:after="0"/>
              <w:rPr>
                <w:sz w:val="19"/>
                <w:szCs w:val="19"/>
                <w:color w:val="auto"/>
              </w:rPr>
            </w:pPr>
          </w:p>
        </w:tc>
        <w:tc>
          <w:tcPr>
            <w:tcW w:w="660" w:type="dxa"/>
            <w:vAlign w:val="bottom"/>
            <w:tcBorders>
              <w:bottom w:val="single" w:sz="8" w:color="2D53A6"/>
              <w:right w:val="single" w:sz="8" w:color="2D53A6"/>
            </w:tcBorders>
          </w:tcPr>
          <w:p>
            <w:pPr>
              <w:spacing w:after="0"/>
              <w:rPr>
                <w:sz w:val="19"/>
                <w:szCs w:val="19"/>
                <w:color w:val="auto"/>
              </w:rPr>
            </w:pPr>
          </w:p>
        </w:tc>
        <w:tc>
          <w:tcPr>
            <w:tcW w:w="800" w:type="dxa"/>
            <w:vAlign w:val="bottom"/>
            <w:tcBorders>
              <w:bottom w:val="single" w:sz="8" w:color="2D53A6"/>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940" w:type="dxa"/>
            <w:vAlign w:val="bottom"/>
            <w:tcBorders>
              <w:right w:val="single" w:sz="8" w:color="2D53A6"/>
            </w:tcBorders>
            <w:gridSpan w:val="2"/>
            <w:shd w:val="clear" w:color="auto" w:fill="E6E6E6"/>
          </w:tcPr>
          <w:p>
            <w:pPr>
              <w:spacing w:after="0" w:line="177" w:lineRule="exact"/>
              <w:rPr>
                <w:sz w:val="20"/>
                <w:szCs w:val="20"/>
                <w:color w:val="auto"/>
              </w:rPr>
            </w:pPr>
            <w:r>
              <w:rPr>
                <w:rFonts w:ascii="Arial" w:cs="Arial" w:eastAsia="Arial" w:hAnsi="Arial"/>
                <w:sz w:val="18"/>
                <w:szCs w:val="18"/>
                <w:b w:val="1"/>
                <w:bCs w:val="1"/>
                <w:color w:val="auto"/>
              </w:rPr>
              <w:t xml:space="preserve">Risk Management Experience </w:t>
            </w:r>
            <w:r>
              <w:rPr>
                <w:rFonts w:ascii="Arial" w:cs="Arial" w:eastAsia="Arial" w:hAnsi="Arial"/>
                <w:sz w:val="18"/>
                <w:szCs w:val="18"/>
                <w:color w:val="auto"/>
              </w:rPr>
              <w:t>– Experience serving as a</w:t>
            </w:r>
          </w:p>
        </w:tc>
        <w:tc>
          <w:tcPr>
            <w:tcW w:w="700" w:type="dxa"/>
            <w:vAlign w:val="bottom"/>
            <w:tcBorders>
              <w:right w:val="single" w:sz="8" w:color="2D53A6"/>
            </w:tcBorders>
            <w:shd w:val="clear" w:color="auto" w:fill="E6E6E6"/>
          </w:tcPr>
          <w:p>
            <w:pPr>
              <w:spacing w:after="0"/>
              <w:rPr>
                <w:sz w:val="15"/>
                <w:szCs w:val="15"/>
                <w:color w:val="auto"/>
              </w:rPr>
            </w:pPr>
          </w:p>
        </w:tc>
        <w:tc>
          <w:tcPr>
            <w:tcW w:w="700" w:type="dxa"/>
            <w:vAlign w:val="bottom"/>
            <w:tcBorders>
              <w:right w:val="single" w:sz="8" w:color="2D53A6"/>
            </w:tcBorders>
            <w:shd w:val="clear" w:color="auto" w:fill="E6E6E6"/>
          </w:tcPr>
          <w:p>
            <w:pPr>
              <w:spacing w:after="0"/>
              <w:rPr>
                <w:sz w:val="15"/>
                <w:szCs w:val="15"/>
                <w:color w:val="auto"/>
              </w:rPr>
            </w:pPr>
          </w:p>
        </w:tc>
        <w:tc>
          <w:tcPr>
            <w:tcW w:w="700" w:type="dxa"/>
            <w:vAlign w:val="bottom"/>
            <w:tcBorders>
              <w:right w:val="single" w:sz="8" w:color="2D53A6"/>
            </w:tcBorders>
            <w:shd w:val="clear" w:color="auto" w:fill="E6E6E6"/>
          </w:tcPr>
          <w:p>
            <w:pPr>
              <w:spacing w:after="0"/>
              <w:rPr>
                <w:sz w:val="15"/>
                <w:szCs w:val="15"/>
                <w:color w:val="auto"/>
              </w:rPr>
            </w:pPr>
          </w:p>
        </w:tc>
        <w:tc>
          <w:tcPr>
            <w:tcW w:w="680" w:type="dxa"/>
            <w:vAlign w:val="bottom"/>
            <w:tcBorders>
              <w:right w:val="single" w:sz="8" w:color="2D53A6"/>
            </w:tcBorders>
            <w:shd w:val="clear" w:color="auto" w:fill="E6E6E6"/>
          </w:tcPr>
          <w:p>
            <w:pPr>
              <w:spacing w:after="0"/>
              <w:rPr>
                <w:sz w:val="15"/>
                <w:szCs w:val="15"/>
                <w:color w:val="auto"/>
              </w:rPr>
            </w:pPr>
          </w:p>
        </w:tc>
        <w:tc>
          <w:tcPr>
            <w:tcW w:w="700" w:type="dxa"/>
            <w:vAlign w:val="bottom"/>
            <w:tcBorders>
              <w:right w:val="single" w:sz="8" w:color="2D53A6"/>
            </w:tcBorders>
            <w:shd w:val="clear" w:color="auto" w:fill="E6E6E6"/>
          </w:tcPr>
          <w:p>
            <w:pPr>
              <w:spacing w:after="0"/>
              <w:rPr>
                <w:sz w:val="15"/>
                <w:szCs w:val="15"/>
                <w:color w:val="auto"/>
              </w:rPr>
            </w:pPr>
          </w:p>
        </w:tc>
        <w:tc>
          <w:tcPr>
            <w:tcW w:w="660" w:type="dxa"/>
            <w:vAlign w:val="bottom"/>
            <w:tcBorders>
              <w:right w:val="single" w:sz="8" w:color="2D53A6"/>
            </w:tcBorders>
            <w:shd w:val="clear" w:color="auto" w:fill="E6E6E6"/>
          </w:tcPr>
          <w:p>
            <w:pPr>
              <w:spacing w:after="0"/>
              <w:rPr>
                <w:sz w:val="15"/>
                <w:szCs w:val="15"/>
                <w:color w:val="auto"/>
              </w:rPr>
            </w:pPr>
          </w:p>
        </w:tc>
        <w:tc>
          <w:tcPr>
            <w:tcW w:w="700" w:type="dxa"/>
            <w:vAlign w:val="bottom"/>
            <w:tcBorders>
              <w:right w:val="single" w:sz="8" w:color="2D53A6"/>
            </w:tcBorders>
            <w:shd w:val="clear" w:color="auto" w:fill="E6E6E6"/>
          </w:tcPr>
          <w:p>
            <w:pPr>
              <w:spacing w:after="0"/>
              <w:rPr>
                <w:sz w:val="15"/>
                <w:szCs w:val="15"/>
                <w:color w:val="auto"/>
              </w:rPr>
            </w:pPr>
          </w:p>
        </w:tc>
        <w:tc>
          <w:tcPr>
            <w:tcW w:w="660" w:type="dxa"/>
            <w:vAlign w:val="bottom"/>
            <w:tcBorders>
              <w:right w:val="single" w:sz="8" w:color="2D53A6"/>
            </w:tcBorders>
            <w:shd w:val="clear" w:color="auto" w:fill="E6E6E6"/>
          </w:tcPr>
          <w:p>
            <w:pPr>
              <w:spacing w:after="0"/>
              <w:rPr>
                <w:sz w:val="15"/>
                <w:szCs w:val="15"/>
                <w:color w:val="auto"/>
              </w:rPr>
            </w:pPr>
          </w:p>
        </w:tc>
        <w:tc>
          <w:tcPr>
            <w:tcW w:w="80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40" w:type="dxa"/>
            <w:vAlign w:val="bottom"/>
            <w:tcBorders>
              <w:right w:val="single" w:sz="8" w:color="2D53A6"/>
            </w:tcBorders>
            <w:gridSpan w:val="2"/>
            <w:shd w:val="clear" w:color="auto" w:fill="E6E6E6"/>
          </w:tcPr>
          <w:p>
            <w:pPr>
              <w:spacing w:after="0" w:line="202" w:lineRule="exact"/>
              <w:rPr>
                <w:sz w:val="20"/>
                <w:szCs w:val="20"/>
                <w:color w:val="auto"/>
              </w:rPr>
            </w:pPr>
            <w:r>
              <w:rPr>
                <w:rFonts w:ascii="Arial" w:cs="Arial" w:eastAsia="Arial" w:hAnsi="Arial"/>
                <w:sz w:val="18"/>
                <w:szCs w:val="18"/>
                <w:color w:val="auto"/>
              </w:rPr>
              <w:t>member of the audit committee of a public company, or</w:t>
            </w:r>
          </w:p>
        </w:tc>
        <w:tc>
          <w:tcPr>
            <w:tcW w:w="70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68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66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660" w:type="dxa"/>
            <w:vAlign w:val="bottom"/>
            <w:tcBorders>
              <w:right w:val="single" w:sz="8" w:color="2D53A6"/>
            </w:tcBorders>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40" w:type="dxa"/>
            <w:vAlign w:val="bottom"/>
            <w:tcBorders>
              <w:right w:val="single" w:sz="8" w:color="2D53A6"/>
            </w:tcBorders>
            <w:gridSpan w:val="2"/>
            <w:shd w:val="clear" w:color="auto" w:fill="E6E6E6"/>
          </w:tcPr>
          <w:p>
            <w:pPr>
              <w:spacing w:after="0" w:line="202" w:lineRule="exact"/>
              <w:rPr>
                <w:sz w:val="20"/>
                <w:szCs w:val="20"/>
                <w:color w:val="auto"/>
              </w:rPr>
            </w:pPr>
            <w:r>
              <w:rPr>
                <w:rFonts w:ascii="Arial" w:cs="Arial" w:eastAsia="Arial" w:hAnsi="Arial"/>
                <w:sz w:val="18"/>
                <w:szCs w:val="18"/>
                <w:color w:val="auto"/>
              </w:rPr>
              <w:t>directly overseeing enterprise risk management or business</w:t>
            </w:r>
          </w:p>
        </w:tc>
        <w:tc>
          <w:tcPr>
            <w:tcW w:w="7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4940" w:type="dxa"/>
            <w:vAlign w:val="bottom"/>
            <w:tcBorders>
              <w:right w:val="single" w:sz="8" w:color="2D53A6"/>
            </w:tcBorders>
            <w:gridSpan w:val="2"/>
            <w:vMerge w:val="restart"/>
            <w:shd w:val="clear" w:color="auto" w:fill="E6E6E6"/>
          </w:tcPr>
          <w:p>
            <w:pPr>
              <w:spacing w:after="0" w:line="202" w:lineRule="exact"/>
              <w:rPr>
                <w:sz w:val="20"/>
                <w:szCs w:val="20"/>
                <w:color w:val="auto"/>
              </w:rPr>
            </w:pPr>
            <w:r>
              <w:rPr>
                <w:rFonts w:ascii="Arial" w:cs="Arial" w:eastAsia="Arial" w:hAnsi="Arial"/>
                <w:sz w:val="18"/>
                <w:szCs w:val="18"/>
                <w:color w:val="auto"/>
              </w:rPr>
              <w:t>continuity planning in a large organization, or other</w:t>
            </w:r>
          </w:p>
        </w:tc>
        <w:tc>
          <w:tcPr>
            <w:tcW w:w="700" w:type="dxa"/>
            <w:vAlign w:val="bottom"/>
            <w:tcBorders>
              <w:right w:val="single" w:sz="8" w:color="2D53A6"/>
            </w:tcBorders>
            <w:vMerge w:val="continue"/>
            <w:shd w:val="clear" w:color="auto" w:fill="E6E6E6"/>
          </w:tcPr>
          <w:p>
            <w:pPr>
              <w:spacing w:after="0"/>
              <w:rPr>
                <w:sz w:val="11"/>
                <w:szCs w:val="11"/>
                <w:color w:val="auto"/>
              </w:rPr>
            </w:pPr>
          </w:p>
        </w:tc>
        <w:tc>
          <w:tcPr>
            <w:tcW w:w="700" w:type="dxa"/>
            <w:vAlign w:val="bottom"/>
            <w:tcBorders>
              <w:right w:val="single" w:sz="8" w:color="2D53A6"/>
            </w:tcBorders>
            <w:vMerge w:val="continue"/>
            <w:shd w:val="clear" w:color="auto" w:fill="E6E6E6"/>
          </w:tcPr>
          <w:p>
            <w:pPr>
              <w:spacing w:after="0"/>
              <w:rPr>
                <w:sz w:val="11"/>
                <w:szCs w:val="11"/>
                <w:color w:val="auto"/>
              </w:rPr>
            </w:pPr>
          </w:p>
        </w:tc>
        <w:tc>
          <w:tcPr>
            <w:tcW w:w="700" w:type="dxa"/>
            <w:vAlign w:val="bottom"/>
            <w:tcBorders>
              <w:right w:val="single" w:sz="8" w:color="2D53A6"/>
            </w:tcBorders>
            <w:vMerge w:val="continue"/>
            <w:shd w:val="clear" w:color="auto" w:fill="E6E6E6"/>
          </w:tcPr>
          <w:p>
            <w:pPr>
              <w:spacing w:after="0"/>
              <w:rPr>
                <w:sz w:val="11"/>
                <w:szCs w:val="11"/>
                <w:color w:val="auto"/>
              </w:rPr>
            </w:pPr>
          </w:p>
        </w:tc>
        <w:tc>
          <w:tcPr>
            <w:tcW w:w="680" w:type="dxa"/>
            <w:vAlign w:val="bottom"/>
            <w:tcBorders>
              <w:right w:val="single" w:sz="8" w:color="2D53A6"/>
            </w:tcBorders>
            <w:vMerge w:val="continue"/>
            <w:shd w:val="clear" w:color="auto" w:fill="E6E6E6"/>
          </w:tcPr>
          <w:p>
            <w:pPr>
              <w:spacing w:after="0"/>
              <w:rPr>
                <w:sz w:val="11"/>
                <w:szCs w:val="11"/>
                <w:color w:val="auto"/>
              </w:rPr>
            </w:pPr>
          </w:p>
        </w:tc>
        <w:tc>
          <w:tcPr>
            <w:tcW w:w="700" w:type="dxa"/>
            <w:vAlign w:val="bottom"/>
            <w:tcBorders>
              <w:right w:val="single" w:sz="8" w:color="2D53A6"/>
            </w:tcBorders>
            <w:vMerge w:val="continue"/>
            <w:shd w:val="clear" w:color="auto" w:fill="E6E6E6"/>
          </w:tcPr>
          <w:p>
            <w:pPr>
              <w:spacing w:after="0"/>
              <w:rPr>
                <w:sz w:val="11"/>
                <w:szCs w:val="11"/>
                <w:color w:val="auto"/>
              </w:rPr>
            </w:pPr>
          </w:p>
        </w:tc>
        <w:tc>
          <w:tcPr>
            <w:tcW w:w="660" w:type="dxa"/>
            <w:vAlign w:val="bottom"/>
            <w:tcBorders>
              <w:right w:val="single" w:sz="8" w:color="2D53A6"/>
            </w:tcBorders>
            <w:vMerge w:val="continue"/>
            <w:shd w:val="clear" w:color="auto" w:fill="E6E6E6"/>
          </w:tcPr>
          <w:p>
            <w:pPr>
              <w:spacing w:after="0"/>
              <w:rPr>
                <w:sz w:val="11"/>
                <w:szCs w:val="11"/>
                <w:color w:val="auto"/>
              </w:rPr>
            </w:pPr>
          </w:p>
        </w:tc>
        <w:tc>
          <w:tcPr>
            <w:tcW w:w="700" w:type="dxa"/>
            <w:vAlign w:val="bottom"/>
            <w:tcBorders>
              <w:right w:val="single" w:sz="8" w:color="2D53A6"/>
            </w:tcBorders>
            <w:vMerge w:val="continue"/>
            <w:shd w:val="clear" w:color="auto" w:fill="E6E6E6"/>
          </w:tcPr>
          <w:p>
            <w:pPr>
              <w:spacing w:after="0"/>
              <w:rPr>
                <w:sz w:val="11"/>
                <w:szCs w:val="11"/>
                <w:color w:val="auto"/>
              </w:rPr>
            </w:pPr>
          </w:p>
        </w:tc>
        <w:tc>
          <w:tcPr>
            <w:tcW w:w="660" w:type="dxa"/>
            <w:vAlign w:val="bottom"/>
            <w:tcBorders>
              <w:right w:val="single" w:sz="8" w:color="2D53A6"/>
            </w:tcBorders>
            <w:vMerge w:val="continue"/>
            <w:shd w:val="clear" w:color="auto" w:fill="E6E6E6"/>
          </w:tcPr>
          <w:p>
            <w:pPr>
              <w:spacing w:after="0"/>
              <w:rPr>
                <w:sz w:val="11"/>
                <w:szCs w:val="11"/>
                <w:color w:val="auto"/>
              </w:rPr>
            </w:pPr>
          </w:p>
        </w:tc>
        <w:tc>
          <w:tcPr>
            <w:tcW w:w="800" w:type="dxa"/>
            <w:vAlign w:val="bottom"/>
            <w:vMerge w:val="continue"/>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940" w:type="dxa"/>
            <w:vAlign w:val="bottom"/>
            <w:tcBorders>
              <w:right w:val="single" w:sz="8" w:color="2D53A6"/>
            </w:tcBorders>
            <w:gridSpan w:val="2"/>
            <w:vMerge w:val="continue"/>
            <w:shd w:val="clear" w:color="auto" w:fill="E6E6E6"/>
          </w:tcPr>
          <w:p>
            <w:pPr>
              <w:spacing w:after="0"/>
              <w:rPr>
                <w:sz w:val="6"/>
                <w:szCs w:val="6"/>
                <w:color w:val="auto"/>
              </w:rPr>
            </w:pPr>
          </w:p>
        </w:tc>
        <w:tc>
          <w:tcPr>
            <w:tcW w:w="700" w:type="dxa"/>
            <w:vAlign w:val="bottom"/>
            <w:tcBorders>
              <w:right w:val="single" w:sz="8" w:color="2D53A6"/>
            </w:tcBorders>
            <w:shd w:val="clear" w:color="auto" w:fill="E6E6E6"/>
          </w:tcPr>
          <w:p>
            <w:pPr>
              <w:spacing w:after="0"/>
              <w:rPr>
                <w:sz w:val="6"/>
                <w:szCs w:val="6"/>
                <w:color w:val="auto"/>
              </w:rPr>
            </w:pPr>
          </w:p>
        </w:tc>
        <w:tc>
          <w:tcPr>
            <w:tcW w:w="700" w:type="dxa"/>
            <w:vAlign w:val="bottom"/>
            <w:tcBorders>
              <w:right w:val="single" w:sz="8" w:color="2D53A6"/>
            </w:tcBorders>
            <w:shd w:val="clear" w:color="auto" w:fill="E6E6E6"/>
          </w:tcPr>
          <w:p>
            <w:pPr>
              <w:spacing w:after="0"/>
              <w:rPr>
                <w:sz w:val="6"/>
                <w:szCs w:val="6"/>
                <w:color w:val="auto"/>
              </w:rPr>
            </w:pPr>
          </w:p>
        </w:tc>
        <w:tc>
          <w:tcPr>
            <w:tcW w:w="700" w:type="dxa"/>
            <w:vAlign w:val="bottom"/>
            <w:tcBorders>
              <w:right w:val="single" w:sz="8" w:color="2D53A6"/>
            </w:tcBorders>
            <w:shd w:val="clear" w:color="auto" w:fill="E6E6E6"/>
          </w:tcPr>
          <w:p>
            <w:pPr>
              <w:spacing w:after="0"/>
              <w:rPr>
                <w:sz w:val="6"/>
                <w:szCs w:val="6"/>
                <w:color w:val="auto"/>
              </w:rPr>
            </w:pPr>
          </w:p>
        </w:tc>
        <w:tc>
          <w:tcPr>
            <w:tcW w:w="680" w:type="dxa"/>
            <w:vAlign w:val="bottom"/>
            <w:tcBorders>
              <w:right w:val="single" w:sz="8" w:color="2D53A6"/>
            </w:tcBorders>
            <w:shd w:val="clear" w:color="auto" w:fill="E6E6E6"/>
          </w:tcPr>
          <w:p>
            <w:pPr>
              <w:spacing w:after="0"/>
              <w:rPr>
                <w:sz w:val="6"/>
                <w:szCs w:val="6"/>
                <w:color w:val="auto"/>
              </w:rPr>
            </w:pPr>
          </w:p>
        </w:tc>
        <w:tc>
          <w:tcPr>
            <w:tcW w:w="700" w:type="dxa"/>
            <w:vAlign w:val="bottom"/>
            <w:tcBorders>
              <w:right w:val="single" w:sz="8" w:color="2D53A6"/>
            </w:tcBorders>
            <w:shd w:val="clear" w:color="auto" w:fill="E6E6E6"/>
          </w:tcPr>
          <w:p>
            <w:pPr>
              <w:spacing w:after="0"/>
              <w:rPr>
                <w:sz w:val="6"/>
                <w:szCs w:val="6"/>
                <w:color w:val="auto"/>
              </w:rPr>
            </w:pPr>
          </w:p>
        </w:tc>
        <w:tc>
          <w:tcPr>
            <w:tcW w:w="660" w:type="dxa"/>
            <w:vAlign w:val="bottom"/>
            <w:tcBorders>
              <w:right w:val="single" w:sz="8" w:color="2D53A6"/>
            </w:tcBorders>
            <w:shd w:val="clear" w:color="auto" w:fill="E6E6E6"/>
          </w:tcPr>
          <w:p>
            <w:pPr>
              <w:spacing w:after="0"/>
              <w:rPr>
                <w:sz w:val="6"/>
                <w:szCs w:val="6"/>
                <w:color w:val="auto"/>
              </w:rPr>
            </w:pPr>
          </w:p>
        </w:tc>
        <w:tc>
          <w:tcPr>
            <w:tcW w:w="700" w:type="dxa"/>
            <w:vAlign w:val="bottom"/>
            <w:tcBorders>
              <w:right w:val="single" w:sz="8" w:color="2D53A6"/>
            </w:tcBorders>
            <w:shd w:val="clear" w:color="auto" w:fill="E6E6E6"/>
          </w:tcPr>
          <w:p>
            <w:pPr>
              <w:spacing w:after="0"/>
              <w:rPr>
                <w:sz w:val="6"/>
                <w:szCs w:val="6"/>
                <w:color w:val="auto"/>
              </w:rPr>
            </w:pPr>
          </w:p>
        </w:tc>
        <w:tc>
          <w:tcPr>
            <w:tcW w:w="660" w:type="dxa"/>
            <w:vAlign w:val="bottom"/>
            <w:tcBorders>
              <w:right w:val="single" w:sz="8" w:color="2D53A6"/>
            </w:tcBorders>
            <w:shd w:val="clear" w:color="auto" w:fill="E6E6E6"/>
          </w:tcPr>
          <w:p>
            <w:pPr>
              <w:spacing w:after="0"/>
              <w:rPr>
                <w:sz w:val="6"/>
                <w:szCs w:val="6"/>
                <w:color w:val="auto"/>
              </w:rPr>
            </w:pPr>
          </w:p>
        </w:tc>
        <w:tc>
          <w:tcPr>
            <w:tcW w:w="80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940" w:type="dxa"/>
            <w:vAlign w:val="bottom"/>
            <w:tcBorders>
              <w:right w:val="single" w:sz="8" w:color="2D53A6"/>
            </w:tcBorders>
            <w:gridSpan w:val="2"/>
            <w:shd w:val="clear" w:color="auto" w:fill="E6E6E6"/>
          </w:tcPr>
          <w:p>
            <w:pPr>
              <w:spacing w:after="0" w:line="202" w:lineRule="exact"/>
              <w:rPr>
                <w:sz w:val="20"/>
                <w:szCs w:val="20"/>
                <w:color w:val="auto"/>
              </w:rPr>
            </w:pPr>
            <w:r>
              <w:rPr>
                <w:rFonts w:ascii="Arial" w:cs="Arial" w:eastAsia="Arial" w:hAnsi="Arial"/>
                <w:sz w:val="18"/>
                <w:szCs w:val="18"/>
                <w:color w:val="auto"/>
              </w:rPr>
              <w:t>experience in managing risk at the enterprise level or in a</w:t>
            </w:r>
          </w:p>
        </w:tc>
        <w:tc>
          <w:tcPr>
            <w:tcW w:w="70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68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660" w:type="dxa"/>
            <w:vAlign w:val="bottom"/>
            <w:tcBorders>
              <w:right w:val="single" w:sz="8" w:color="2D53A6"/>
            </w:tcBorders>
            <w:shd w:val="clear" w:color="auto" w:fill="E6E6E6"/>
          </w:tcPr>
          <w:p>
            <w:pPr>
              <w:spacing w:after="0"/>
              <w:rPr>
                <w:sz w:val="17"/>
                <w:szCs w:val="17"/>
                <w:color w:val="auto"/>
              </w:rPr>
            </w:pPr>
          </w:p>
        </w:tc>
        <w:tc>
          <w:tcPr>
            <w:tcW w:w="700" w:type="dxa"/>
            <w:vAlign w:val="bottom"/>
            <w:tcBorders>
              <w:right w:val="single" w:sz="8" w:color="2D53A6"/>
            </w:tcBorders>
            <w:shd w:val="clear" w:color="auto" w:fill="E6E6E6"/>
          </w:tcPr>
          <w:p>
            <w:pPr>
              <w:spacing w:after="0"/>
              <w:rPr>
                <w:sz w:val="17"/>
                <w:szCs w:val="17"/>
                <w:color w:val="auto"/>
              </w:rPr>
            </w:pPr>
          </w:p>
        </w:tc>
        <w:tc>
          <w:tcPr>
            <w:tcW w:w="660" w:type="dxa"/>
            <w:vAlign w:val="bottom"/>
            <w:tcBorders>
              <w:right w:val="single" w:sz="8" w:color="2D53A6"/>
            </w:tcBorders>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940" w:type="dxa"/>
            <w:vAlign w:val="bottom"/>
            <w:tcBorders>
              <w:bottom w:val="single" w:sz="8" w:color="2D53A6"/>
              <w:right w:val="single" w:sz="8" w:color="2D53A6"/>
            </w:tcBorders>
            <w:gridSpan w:val="2"/>
            <w:shd w:val="clear" w:color="auto" w:fill="E6E6E6"/>
          </w:tcPr>
          <w:p>
            <w:pPr>
              <w:spacing w:after="0"/>
              <w:rPr>
                <w:sz w:val="20"/>
                <w:szCs w:val="20"/>
                <w:color w:val="auto"/>
              </w:rPr>
            </w:pPr>
            <w:r>
              <w:rPr>
                <w:rFonts w:ascii="Arial" w:cs="Arial" w:eastAsia="Arial" w:hAnsi="Arial"/>
                <w:sz w:val="18"/>
                <w:szCs w:val="18"/>
                <w:color w:val="auto"/>
              </w:rPr>
              <w:t>senior compliance or regulatory role</w:t>
            </w:r>
          </w:p>
        </w:tc>
        <w:tc>
          <w:tcPr>
            <w:tcW w:w="700" w:type="dxa"/>
            <w:vAlign w:val="bottom"/>
            <w:tcBorders>
              <w:bottom w:val="single" w:sz="8" w:color="2D53A6"/>
              <w:right w:val="single" w:sz="8" w:color="2D53A6"/>
            </w:tcBorders>
            <w:shd w:val="clear" w:color="auto" w:fill="E6E6E6"/>
          </w:tcPr>
          <w:p>
            <w:pPr>
              <w:spacing w:after="0"/>
              <w:rPr>
                <w:sz w:val="19"/>
                <w:szCs w:val="19"/>
                <w:color w:val="auto"/>
              </w:rPr>
            </w:pPr>
          </w:p>
        </w:tc>
        <w:tc>
          <w:tcPr>
            <w:tcW w:w="700" w:type="dxa"/>
            <w:vAlign w:val="bottom"/>
            <w:tcBorders>
              <w:bottom w:val="single" w:sz="8" w:color="2D53A6"/>
              <w:right w:val="single" w:sz="8" w:color="2D53A6"/>
            </w:tcBorders>
            <w:shd w:val="clear" w:color="auto" w:fill="E6E6E6"/>
          </w:tcPr>
          <w:p>
            <w:pPr>
              <w:spacing w:after="0"/>
              <w:rPr>
                <w:sz w:val="19"/>
                <w:szCs w:val="19"/>
                <w:color w:val="auto"/>
              </w:rPr>
            </w:pPr>
          </w:p>
        </w:tc>
        <w:tc>
          <w:tcPr>
            <w:tcW w:w="700" w:type="dxa"/>
            <w:vAlign w:val="bottom"/>
            <w:tcBorders>
              <w:bottom w:val="single" w:sz="8" w:color="2D53A6"/>
              <w:right w:val="single" w:sz="8" w:color="2D53A6"/>
            </w:tcBorders>
            <w:shd w:val="clear" w:color="auto" w:fill="E6E6E6"/>
          </w:tcPr>
          <w:p>
            <w:pPr>
              <w:spacing w:after="0"/>
              <w:rPr>
                <w:sz w:val="19"/>
                <w:szCs w:val="19"/>
                <w:color w:val="auto"/>
              </w:rPr>
            </w:pPr>
          </w:p>
        </w:tc>
        <w:tc>
          <w:tcPr>
            <w:tcW w:w="680" w:type="dxa"/>
            <w:vAlign w:val="bottom"/>
            <w:tcBorders>
              <w:bottom w:val="single" w:sz="8" w:color="2D53A6"/>
              <w:right w:val="single" w:sz="8" w:color="2D53A6"/>
            </w:tcBorders>
            <w:shd w:val="clear" w:color="auto" w:fill="E6E6E6"/>
          </w:tcPr>
          <w:p>
            <w:pPr>
              <w:spacing w:after="0"/>
              <w:rPr>
                <w:sz w:val="19"/>
                <w:szCs w:val="19"/>
                <w:color w:val="auto"/>
              </w:rPr>
            </w:pPr>
          </w:p>
        </w:tc>
        <w:tc>
          <w:tcPr>
            <w:tcW w:w="700" w:type="dxa"/>
            <w:vAlign w:val="bottom"/>
            <w:tcBorders>
              <w:bottom w:val="single" w:sz="8" w:color="2D53A6"/>
              <w:right w:val="single" w:sz="8" w:color="2D53A6"/>
            </w:tcBorders>
            <w:shd w:val="clear" w:color="auto" w:fill="E6E6E6"/>
          </w:tcPr>
          <w:p>
            <w:pPr>
              <w:spacing w:after="0"/>
              <w:rPr>
                <w:sz w:val="19"/>
                <w:szCs w:val="19"/>
                <w:color w:val="auto"/>
              </w:rPr>
            </w:pPr>
          </w:p>
        </w:tc>
        <w:tc>
          <w:tcPr>
            <w:tcW w:w="660" w:type="dxa"/>
            <w:vAlign w:val="bottom"/>
            <w:tcBorders>
              <w:bottom w:val="single" w:sz="8" w:color="2D53A6"/>
              <w:right w:val="single" w:sz="8" w:color="2D53A6"/>
            </w:tcBorders>
            <w:shd w:val="clear" w:color="auto" w:fill="E6E6E6"/>
          </w:tcPr>
          <w:p>
            <w:pPr>
              <w:spacing w:after="0"/>
              <w:rPr>
                <w:sz w:val="19"/>
                <w:szCs w:val="19"/>
                <w:color w:val="auto"/>
              </w:rPr>
            </w:pPr>
          </w:p>
        </w:tc>
        <w:tc>
          <w:tcPr>
            <w:tcW w:w="700" w:type="dxa"/>
            <w:vAlign w:val="bottom"/>
            <w:tcBorders>
              <w:bottom w:val="single" w:sz="8" w:color="2D53A6"/>
              <w:right w:val="single" w:sz="8" w:color="2D53A6"/>
            </w:tcBorders>
            <w:shd w:val="clear" w:color="auto" w:fill="E6E6E6"/>
          </w:tcPr>
          <w:p>
            <w:pPr>
              <w:spacing w:after="0"/>
              <w:rPr>
                <w:sz w:val="19"/>
                <w:szCs w:val="19"/>
                <w:color w:val="auto"/>
              </w:rPr>
            </w:pPr>
          </w:p>
        </w:tc>
        <w:tc>
          <w:tcPr>
            <w:tcW w:w="660" w:type="dxa"/>
            <w:vAlign w:val="bottom"/>
            <w:tcBorders>
              <w:bottom w:val="single" w:sz="8" w:color="2D53A6"/>
              <w:right w:val="single" w:sz="8" w:color="2D53A6"/>
            </w:tcBorders>
            <w:shd w:val="clear" w:color="auto" w:fill="E6E6E6"/>
          </w:tcPr>
          <w:p>
            <w:pPr>
              <w:spacing w:after="0"/>
              <w:rPr>
                <w:sz w:val="19"/>
                <w:szCs w:val="19"/>
                <w:color w:val="auto"/>
              </w:rPr>
            </w:pPr>
          </w:p>
        </w:tc>
        <w:tc>
          <w:tcPr>
            <w:tcW w:w="800" w:type="dxa"/>
            <w:vAlign w:val="bottom"/>
            <w:tcBorders>
              <w:bottom w:val="single" w:sz="8" w:color="2D53A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94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40" w:type="dxa"/>
            <w:vAlign w:val="bottom"/>
            <w:tcBorders>
              <w:right w:val="single" w:sz="8" w:color="2D53A6"/>
            </w:tcBorders>
            <w:gridSpan w:val="2"/>
            <w:shd w:val="clear" w:color="auto" w:fill="2D53A6"/>
          </w:tcPr>
          <w:p>
            <w:pPr>
              <w:spacing w:after="0"/>
              <w:rPr>
                <w:sz w:val="20"/>
                <w:szCs w:val="20"/>
                <w:color w:val="auto"/>
              </w:rPr>
            </w:pPr>
            <w:r>
              <w:rPr>
                <w:rFonts w:ascii="Arial" w:cs="Arial" w:eastAsia="Arial" w:hAnsi="Arial"/>
                <w:sz w:val="18"/>
                <w:szCs w:val="18"/>
                <w:b w:val="1"/>
                <w:bCs w:val="1"/>
                <w:color w:val="FFFFFF"/>
              </w:rPr>
              <w:t>Additional Qualifications and Information</w:t>
            </w:r>
          </w:p>
        </w:tc>
        <w:tc>
          <w:tcPr>
            <w:tcW w:w="700" w:type="dxa"/>
            <w:vAlign w:val="bottom"/>
            <w:tcBorders>
              <w:right w:val="single" w:sz="8" w:color="2D53A6"/>
            </w:tcBorders>
            <w:shd w:val="clear" w:color="auto" w:fill="2D53A6"/>
          </w:tcPr>
          <w:p>
            <w:pPr>
              <w:spacing w:after="0"/>
              <w:rPr>
                <w:sz w:val="19"/>
                <w:szCs w:val="19"/>
                <w:color w:val="auto"/>
              </w:rPr>
            </w:pPr>
          </w:p>
        </w:tc>
        <w:tc>
          <w:tcPr>
            <w:tcW w:w="700" w:type="dxa"/>
            <w:vAlign w:val="bottom"/>
            <w:tcBorders>
              <w:right w:val="single" w:sz="8" w:color="2D53A6"/>
            </w:tcBorders>
            <w:shd w:val="clear" w:color="auto" w:fill="2D53A6"/>
          </w:tcPr>
          <w:p>
            <w:pPr>
              <w:spacing w:after="0"/>
              <w:rPr>
                <w:sz w:val="19"/>
                <w:szCs w:val="19"/>
                <w:color w:val="auto"/>
              </w:rPr>
            </w:pPr>
          </w:p>
        </w:tc>
        <w:tc>
          <w:tcPr>
            <w:tcW w:w="700" w:type="dxa"/>
            <w:vAlign w:val="bottom"/>
            <w:tcBorders>
              <w:right w:val="single" w:sz="8" w:color="2D53A6"/>
            </w:tcBorders>
            <w:shd w:val="clear" w:color="auto" w:fill="2D53A6"/>
          </w:tcPr>
          <w:p>
            <w:pPr>
              <w:spacing w:after="0"/>
              <w:rPr>
                <w:sz w:val="19"/>
                <w:szCs w:val="19"/>
                <w:color w:val="auto"/>
              </w:rPr>
            </w:pPr>
          </w:p>
        </w:tc>
        <w:tc>
          <w:tcPr>
            <w:tcW w:w="680" w:type="dxa"/>
            <w:vAlign w:val="bottom"/>
            <w:tcBorders>
              <w:right w:val="single" w:sz="8" w:color="2D53A6"/>
            </w:tcBorders>
            <w:shd w:val="clear" w:color="auto" w:fill="2D53A6"/>
          </w:tcPr>
          <w:p>
            <w:pPr>
              <w:spacing w:after="0"/>
              <w:rPr>
                <w:sz w:val="19"/>
                <w:szCs w:val="19"/>
                <w:color w:val="auto"/>
              </w:rPr>
            </w:pPr>
          </w:p>
        </w:tc>
        <w:tc>
          <w:tcPr>
            <w:tcW w:w="700" w:type="dxa"/>
            <w:vAlign w:val="bottom"/>
            <w:tcBorders>
              <w:right w:val="single" w:sz="8" w:color="2D53A6"/>
            </w:tcBorders>
            <w:shd w:val="clear" w:color="auto" w:fill="2D53A6"/>
          </w:tcPr>
          <w:p>
            <w:pPr>
              <w:spacing w:after="0"/>
              <w:rPr>
                <w:sz w:val="19"/>
                <w:szCs w:val="19"/>
                <w:color w:val="auto"/>
              </w:rPr>
            </w:pPr>
          </w:p>
        </w:tc>
        <w:tc>
          <w:tcPr>
            <w:tcW w:w="660" w:type="dxa"/>
            <w:vAlign w:val="bottom"/>
            <w:tcBorders>
              <w:right w:val="single" w:sz="8" w:color="2D53A6"/>
            </w:tcBorders>
            <w:shd w:val="clear" w:color="auto" w:fill="2D53A6"/>
          </w:tcPr>
          <w:p>
            <w:pPr>
              <w:spacing w:after="0"/>
              <w:rPr>
                <w:sz w:val="19"/>
                <w:szCs w:val="19"/>
                <w:color w:val="auto"/>
              </w:rPr>
            </w:pPr>
          </w:p>
        </w:tc>
        <w:tc>
          <w:tcPr>
            <w:tcW w:w="700" w:type="dxa"/>
            <w:vAlign w:val="bottom"/>
            <w:tcBorders>
              <w:right w:val="single" w:sz="8" w:color="2D53A6"/>
            </w:tcBorders>
            <w:shd w:val="clear" w:color="auto" w:fill="2D53A6"/>
          </w:tcPr>
          <w:p>
            <w:pPr>
              <w:spacing w:after="0"/>
              <w:rPr>
                <w:sz w:val="19"/>
                <w:szCs w:val="19"/>
                <w:color w:val="auto"/>
              </w:rPr>
            </w:pPr>
          </w:p>
        </w:tc>
        <w:tc>
          <w:tcPr>
            <w:tcW w:w="660" w:type="dxa"/>
            <w:vAlign w:val="bottom"/>
            <w:tcBorders>
              <w:right w:val="single" w:sz="8" w:color="2D53A6"/>
            </w:tcBorders>
            <w:shd w:val="clear" w:color="auto" w:fill="2D53A6"/>
          </w:tcPr>
          <w:p>
            <w:pPr>
              <w:spacing w:after="0"/>
              <w:rPr>
                <w:sz w:val="19"/>
                <w:szCs w:val="19"/>
                <w:color w:val="auto"/>
              </w:rPr>
            </w:pPr>
          </w:p>
        </w:tc>
        <w:tc>
          <w:tcPr>
            <w:tcW w:w="800" w:type="dxa"/>
            <w:vAlign w:val="bottom"/>
            <w:shd w:val="clear" w:color="auto" w:fill="2D53A6"/>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40" w:type="dxa"/>
            <w:vAlign w:val="bottom"/>
            <w:tcBorders>
              <w:bottom w:val="single" w:sz="8" w:color="2D53A6"/>
              <w:right w:val="single" w:sz="8" w:color="2D53A6"/>
            </w:tcBorders>
            <w:gridSpan w:val="2"/>
          </w:tcPr>
          <w:p>
            <w:pPr>
              <w:spacing w:after="0" w:line="202" w:lineRule="exact"/>
              <w:rPr>
                <w:sz w:val="20"/>
                <w:szCs w:val="20"/>
                <w:color w:val="auto"/>
              </w:rPr>
            </w:pPr>
            <w:r>
              <w:rPr>
                <w:rFonts w:ascii="Arial" w:cs="Arial" w:eastAsia="Arial" w:hAnsi="Arial"/>
                <w:sz w:val="18"/>
                <w:szCs w:val="18"/>
                <w:b w:val="1"/>
                <w:bCs w:val="1"/>
                <w:color w:val="auto"/>
              </w:rPr>
              <w:t xml:space="preserve">Tenure on Cohu Board (years) </w:t>
            </w:r>
            <w:r>
              <w:rPr>
                <w:rFonts w:ascii="Arial" w:cs="Arial" w:eastAsia="Arial" w:hAnsi="Arial"/>
                <w:sz w:val="14"/>
                <w:szCs w:val="14"/>
                <w:b w:val="1"/>
                <w:bCs w:val="1"/>
                <w:color w:val="auto"/>
              </w:rPr>
              <w:t>(1)</w:t>
            </w:r>
          </w:p>
        </w:tc>
        <w:tc>
          <w:tcPr>
            <w:tcW w:w="700" w:type="dxa"/>
            <w:vAlign w:val="bottom"/>
            <w:tcBorders>
              <w:bottom w:val="single" w:sz="8" w:color="2D53A6"/>
              <w:right w:val="single" w:sz="8" w:color="2D53A6"/>
            </w:tcBorders>
          </w:tcPr>
          <w:p>
            <w:pPr>
              <w:jc w:val="center"/>
              <w:spacing w:after="0" w:line="202" w:lineRule="exact"/>
              <w:rPr>
                <w:sz w:val="20"/>
                <w:szCs w:val="20"/>
                <w:color w:val="auto"/>
              </w:rPr>
            </w:pPr>
            <w:r>
              <w:rPr>
                <w:rFonts w:ascii="Arial" w:cs="Arial" w:eastAsia="Arial" w:hAnsi="Arial"/>
                <w:sz w:val="18"/>
                <w:szCs w:val="18"/>
                <w:color w:val="auto"/>
                <w:w w:val="99"/>
              </w:rPr>
              <w:t>14</w:t>
            </w:r>
          </w:p>
        </w:tc>
        <w:tc>
          <w:tcPr>
            <w:tcW w:w="700" w:type="dxa"/>
            <w:vAlign w:val="bottom"/>
            <w:tcBorders>
              <w:bottom w:val="single" w:sz="8" w:color="2D53A6"/>
              <w:right w:val="single" w:sz="8" w:color="2D53A6"/>
            </w:tcBorders>
          </w:tcPr>
          <w:p>
            <w:pPr>
              <w:jc w:val="center"/>
              <w:spacing w:after="0" w:line="202" w:lineRule="exact"/>
              <w:rPr>
                <w:sz w:val="20"/>
                <w:szCs w:val="20"/>
                <w:color w:val="auto"/>
              </w:rPr>
            </w:pPr>
            <w:r>
              <w:rPr>
                <w:rFonts w:ascii="Arial" w:cs="Arial" w:eastAsia="Arial" w:hAnsi="Arial"/>
                <w:sz w:val="18"/>
                <w:szCs w:val="18"/>
                <w:color w:val="auto"/>
                <w:w w:val="99"/>
              </w:rPr>
              <w:t>16</w:t>
            </w:r>
          </w:p>
        </w:tc>
        <w:tc>
          <w:tcPr>
            <w:tcW w:w="700" w:type="dxa"/>
            <w:vAlign w:val="bottom"/>
            <w:tcBorders>
              <w:bottom w:val="single" w:sz="8" w:color="2D53A6"/>
              <w:right w:val="single" w:sz="8" w:color="2D53A6"/>
            </w:tcBorders>
          </w:tcPr>
          <w:p>
            <w:pPr>
              <w:jc w:val="center"/>
              <w:spacing w:after="0" w:line="202" w:lineRule="exact"/>
              <w:rPr>
                <w:sz w:val="20"/>
                <w:szCs w:val="20"/>
                <w:color w:val="auto"/>
              </w:rPr>
            </w:pPr>
            <w:r>
              <w:rPr>
                <w:rFonts w:ascii="Arial" w:cs="Arial" w:eastAsia="Arial" w:hAnsi="Arial"/>
                <w:sz w:val="18"/>
                <w:szCs w:val="18"/>
                <w:color w:val="auto"/>
                <w:w w:val="89"/>
              </w:rPr>
              <w:t>11</w:t>
            </w:r>
          </w:p>
        </w:tc>
        <w:tc>
          <w:tcPr>
            <w:tcW w:w="680" w:type="dxa"/>
            <w:vAlign w:val="bottom"/>
            <w:tcBorders>
              <w:bottom w:val="single" w:sz="8" w:color="2D53A6"/>
              <w:right w:val="single" w:sz="8" w:color="2D53A6"/>
            </w:tcBorders>
          </w:tcPr>
          <w:p>
            <w:pPr>
              <w:jc w:val="center"/>
              <w:spacing w:after="0" w:line="202" w:lineRule="exact"/>
              <w:rPr>
                <w:sz w:val="20"/>
                <w:szCs w:val="20"/>
                <w:color w:val="auto"/>
              </w:rPr>
            </w:pPr>
            <w:r>
              <w:rPr>
                <w:rFonts w:ascii="Arial" w:cs="Arial" w:eastAsia="Arial" w:hAnsi="Arial"/>
                <w:sz w:val="18"/>
                <w:szCs w:val="18"/>
                <w:color w:val="auto"/>
                <w:w w:val="99"/>
              </w:rPr>
              <w:t>26</w:t>
            </w:r>
          </w:p>
        </w:tc>
        <w:tc>
          <w:tcPr>
            <w:tcW w:w="700" w:type="dxa"/>
            <w:vAlign w:val="bottom"/>
            <w:tcBorders>
              <w:bottom w:val="single" w:sz="8" w:color="2D53A6"/>
              <w:right w:val="single" w:sz="8" w:color="2D53A6"/>
            </w:tcBorders>
          </w:tcPr>
          <w:p>
            <w:pPr>
              <w:jc w:val="center"/>
              <w:spacing w:after="0" w:line="202" w:lineRule="exact"/>
              <w:rPr>
                <w:sz w:val="20"/>
                <w:szCs w:val="20"/>
                <w:color w:val="auto"/>
              </w:rPr>
            </w:pPr>
            <w:r>
              <w:rPr>
                <w:rFonts w:ascii="Arial" w:cs="Arial" w:eastAsia="Arial" w:hAnsi="Arial"/>
                <w:sz w:val="18"/>
                <w:szCs w:val="18"/>
                <w:color w:val="auto"/>
                <w:w w:val="99"/>
              </w:rPr>
              <w:t>4</w:t>
            </w:r>
          </w:p>
        </w:tc>
        <w:tc>
          <w:tcPr>
            <w:tcW w:w="660" w:type="dxa"/>
            <w:vAlign w:val="bottom"/>
            <w:tcBorders>
              <w:bottom w:val="single" w:sz="8" w:color="2D53A6"/>
              <w:right w:val="single" w:sz="8" w:color="2D53A6"/>
            </w:tcBorders>
          </w:tcPr>
          <w:p>
            <w:pPr>
              <w:jc w:val="center"/>
              <w:spacing w:after="0" w:line="202" w:lineRule="exact"/>
              <w:rPr>
                <w:sz w:val="20"/>
                <w:szCs w:val="20"/>
                <w:color w:val="auto"/>
              </w:rPr>
            </w:pPr>
            <w:r>
              <w:rPr>
                <w:rFonts w:ascii="Arial" w:cs="Arial" w:eastAsia="Arial" w:hAnsi="Arial"/>
                <w:sz w:val="18"/>
                <w:szCs w:val="18"/>
                <w:color w:val="auto"/>
                <w:w w:val="99"/>
              </w:rPr>
              <w:t>3</w:t>
            </w:r>
          </w:p>
        </w:tc>
        <w:tc>
          <w:tcPr>
            <w:tcW w:w="700" w:type="dxa"/>
            <w:vAlign w:val="bottom"/>
            <w:tcBorders>
              <w:bottom w:val="single" w:sz="8" w:color="2D53A6"/>
              <w:right w:val="single" w:sz="8" w:color="2D53A6"/>
            </w:tcBorders>
          </w:tcPr>
          <w:p>
            <w:pPr>
              <w:jc w:val="center"/>
              <w:spacing w:after="0" w:line="202" w:lineRule="exact"/>
              <w:rPr>
                <w:sz w:val="20"/>
                <w:szCs w:val="20"/>
                <w:color w:val="auto"/>
              </w:rPr>
            </w:pPr>
            <w:r>
              <w:rPr>
                <w:rFonts w:ascii="Arial" w:cs="Arial" w:eastAsia="Arial" w:hAnsi="Arial"/>
                <w:sz w:val="18"/>
                <w:szCs w:val="18"/>
                <w:color w:val="auto"/>
                <w:w w:val="99"/>
              </w:rPr>
              <w:t>11</w:t>
            </w:r>
          </w:p>
        </w:tc>
        <w:tc>
          <w:tcPr>
            <w:tcW w:w="660" w:type="dxa"/>
            <w:vAlign w:val="bottom"/>
            <w:tcBorders>
              <w:bottom w:val="single" w:sz="8" w:color="2D53A6"/>
              <w:right w:val="single" w:sz="8" w:color="2D53A6"/>
            </w:tcBorders>
          </w:tcPr>
          <w:p>
            <w:pPr>
              <w:jc w:val="center"/>
              <w:spacing w:after="0" w:line="202" w:lineRule="exact"/>
              <w:rPr>
                <w:sz w:val="20"/>
                <w:szCs w:val="20"/>
                <w:color w:val="auto"/>
              </w:rPr>
            </w:pPr>
            <w:r>
              <w:rPr>
                <w:rFonts w:ascii="Arial" w:cs="Arial" w:eastAsia="Arial" w:hAnsi="Arial"/>
                <w:sz w:val="18"/>
                <w:szCs w:val="18"/>
                <w:color w:val="auto"/>
                <w:w w:val="99"/>
              </w:rPr>
              <w:t>1</w:t>
            </w:r>
          </w:p>
        </w:tc>
        <w:tc>
          <w:tcPr>
            <w:tcW w:w="800" w:type="dxa"/>
            <w:vAlign w:val="bottom"/>
            <w:tcBorders>
              <w:bottom w:val="single" w:sz="8" w:color="2D53A6"/>
            </w:tcBorders>
          </w:tcPr>
          <w:p>
            <w:pPr>
              <w:jc w:val="center"/>
              <w:spacing w:after="0" w:line="202"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2D53A6"/>
              <w:right w:val="single" w:sz="8" w:color="2D53A6"/>
            </w:tcBorders>
            <w:gridSpan w:val="2"/>
            <w:shd w:val="clear" w:color="auto" w:fill="E6E6E6"/>
          </w:tcPr>
          <w:p>
            <w:pPr>
              <w:spacing w:after="0" w:line="196" w:lineRule="exact"/>
              <w:rPr>
                <w:sz w:val="20"/>
                <w:szCs w:val="20"/>
                <w:color w:val="auto"/>
              </w:rPr>
            </w:pPr>
            <w:r>
              <w:rPr>
                <w:rFonts w:ascii="Arial" w:cs="Arial" w:eastAsia="Arial" w:hAnsi="Arial"/>
                <w:sz w:val="18"/>
                <w:szCs w:val="18"/>
                <w:b w:val="1"/>
                <w:bCs w:val="1"/>
                <w:color w:val="auto"/>
              </w:rPr>
              <w:t xml:space="preserve">Other Current Public Company Boards </w:t>
            </w:r>
            <w:r>
              <w:rPr>
                <w:rFonts w:ascii="Arial" w:cs="Arial" w:eastAsia="Arial" w:hAnsi="Arial"/>
                <w:sz w:val="14"/>
                <w:szCs w:val="14"/>
                <w:b w:val="1"/>
                <w:bCs w:val="1"/>
                <w:color w:val="auto"/>
              </w:rPr>
              <w:t>(2)</w:t>
            </w:r>
          </w:p>
        </w:tc>
        <w:tc>
          <w:tcPr>
            <w:tcW w:w="700" w:type="dxa"/>
            <w:vAlign w:val="bottom"/>
            <w:tcBorders>
              <w:bottom w:val="single" w:sz="8" w:color="2D53A6"/>
              <w:right w:val="single" w:sz="8" w:color="2D53A6"/>
            </w:tcBorders>
            <w:shd w:val="clear" w:color="auto" w:fill="E6E6E6"/>
          </w:tcPr>
          <w:p>
            <w:pPr>
              <w:spacing w:after="0"/>
              <w:rPr>
                <w:sz w:val="17"/>
                <w:szCs w:val="17"/>
                <w:color w:val="auto"/>
              </w:rPr>
            </w:pPr>
          </w:p>
        </w:tc>
        <w:tc>
          <w:tcPr>
            <w:tcW w:w="700" w:type="dxa"/>
            <w:vAlign w:val="bottom"/>
            <w:tcBorders>
              <w:bottom w:val="single" w:sz="8" w:color="2D53A6"/>
              <w:right w:val="single" w:sz="8" w:color="2D53A6"/>
            </w:tcBorders>
            <w:shd w:val="clear" w:color="auto" w:fill="E6E6E6"/>
          </w:tcPr>
          <w:p>
            <w:pPr>
              <w:spacing w:after="0"/>
              <w:rPr>
                <w:sz w:val="17"/>
                <w:szCs w:val="17"/>
                <w:color w:val="auto"/>
              </w:rPr>
            </w:pPr>
          </w:p>
        </w:tc>
        <w:tc>
          <w:tcPr>
            <w:tcW w:w="700" w:type="dxa"/>
            <w:vAlign w:val="bottom"/>
            <w:tcBorders>
              <w:bottom w:val="single" w:sz="8" w:color="2D53A6"/>
              <w:right w:val="single" w:sz="8" w:color="2D53A6"/>
            </w:tcBorders>
            <w:shd w:val="clear" w:color="auto" w:fill="E6E6E6"/>
          </w:tcPr>
          <w:p>
            <w:pPr>
              <w:spacing w:after="0"/>
              <w:rPr>
                <w:sz w:val="17"/>
                <w:szCs w:val="17"/>
                <w:color w:val="auto"/>
              </w:rPr>
            </w:pPr>
          </w:p>
        </w:tc>
        <w:tc>
          <w:tcPr>
            <w:tcW w:w="680" w:type="dxa"/>
            <w:vAlign w:val="bottom"/>
            <w:tcBorders>
              <w:bottom w:val="single" w:sz="8" w:color="2D53A6"/>
              <w:right w:val="single" w:sz="8" w:color="2D53A6"/>
            </w:tcBorders>
            <w:shd w:val="clear" w:color="auto" w:fill="E6E6E6"/>
          </w:tcPr>
          <w:p>
            <w:pPr>
              <w:spacing w:after="0"/>
              <w:rPr>
                <w:sz w:val="17"/>
                <w:szCs w:val="17"/>
                <w:color w:val="auto"/>
              </w:rPr>
            </w:pPr>
          </w:p>
        </w:tc>
        <w:tc>
          <w:tcPr>
            <w:tcW w:w="700" w:type="dxa"/>
            <w:vAlign w:val="bottom"/>
            <w:tcBorders>
              <w:bottom w:val="single" w:sz="8" w:color="2D53A6"/>
              <w:right w:val="single" w:sz="8" w:color="2D53A6"/>
            </w:tcBorders>
            <w:shd w:val="clear" w:color="auto" w:fill="E6E6E6"/>
          </w:tcPr>
          <w:p>
            <w:pPr>
              <w:jc w:val="center"/>
              <w:spacing w:after="0" w:line="196" w:lineRule="exact"/>
              <w:rPr>
                <w:sz w:val="20"/>
                <w:szCs w:val="20"/>
                <w:color w:val="auto"/>
              </w:rPr>
            </w:pPr>
            <w:r>
              <w:rPr>
                <w:rFonts w:ascii="Arial" w:cs="Arial" w:eastAsia="Arial" w:hAnsi="Arial"/>
                <w:sz w:val="18"/>
                <w:szCs w:val="18"/>
                <w:color w:val="auto"/>
                <w:w w:val="99"/>
              </w:rPr>
              <w:t>1</w:t>
            </w:r>
          </w:p>
        </w:tc>
        <w:tc>
          <w:tcPr>
            <w:tcW w:w="660" w:type="dxa"/>
            <w:vAlign w:val="bottom"/>
            <w:tcBorders>
              <w:bottom w:val="single" w:sz="8" w:color="2D53A6"/>
              <w:right w:val="single" w:sz="8" w:color="2D53A6"/>
            </w:tcBorders>
            <w:shd w:val="clear" w:color="auto" w:fill="E6E6E6"/>
          </w:tcPr>
          <w:p>
            <w:pPr>
              <w:jc w:val="center"/>
              <w:spacing w:after="0" w:line="196" w:lineRule="exact"/>
              <w:rPr>
                <w:sz w:val="20"/>
                <w:szCs w:val="20"/>
                <w:color w:val="auto"/>
              </w:rPr>
            </w:pPr>
            <w:r>
              <w:rPr>
                <w:rFonts w:ascii="Arial" w:cs="Arial" w:eastAsia="Arial" w:hAnsi="Arial"/>
                <w:sz w:val="18"/>
                <w:szCs w:val="18"/>
                <w:color w:val="auto"/>
                <w:w w:val="99"/>
              </w:rPr>
              <w:t>1</w:t>
            </w:r>
          </w:p>
        </w:tc>
        <w:tc>
          <w:tcPr>
            <w:tcW w:w="700" w:type="dxa"/>
            <w:vAlign w:val="bottom"/>
            <w:tcBorders>
              <w:bottom w:val="single" w:sz="8" w:color="2D53A6"/>
              <w:right w:val="single" w:sz="8" w:color="2D53A6"/>
            </w:tcBorders>
            <w:shd w:val="clear" w:color="auto" w:fill="E6E6E6"/>
          </w:tcPr>
          <w:p>
            <w:pPr>
              <w:jc w:val="center"/>
              <w:spacing w:after="0" w:line="196" w:lineRule="exact"/>
              <w:rPr>
                <w:sz w:val="20"/>
                <w:szCs w:val="20"/>
                <w:color w:val="auto"/>
              </w:rPr>
            </w:pPr>
            <w:r>
              <w:rPr>
                <w:rFonts w:ascii="Arial" w:cs="Arial" w:eastAsia="Arial" w:hAnsi="Arial"/>
                <w:sz w:val="18"/>
                <w:szCs w:val="18"/>
                <w:color w:val="auto"/>
                <w:w w:val="99"/>
              </w:rPr>
              <w:t>1</w:t>
            </w:r>
          </w:p>
        </w:tc>
        <w:tc>
          <w:tcPr>
            <w:tcW w:w="660" w:type="dxa"/>
            <w:vAlign w:val="bottom"/>
            <w:tcBorders>
              <w:bottom w:val="single" w:sz="8" w:color="2D53A6"/>
              <w:right w:val="single" w:sz="8" w:color="2D53A6"/>
            </w:tcBorders>
            <w:shd w:val="clear" w:color="auto" w:fill="E6E6E6"/>
          </w:tcPr>
          <w:p>
            <w:pPr>
              <w:jc w:val="center"/>
              <w:spacing w:after="0" w:line="196" w:lineRule="exact"/>
              <w:rPr>
                <w:sz w:val="20"/>
                <w:szCs w:val="20"/>
                <w:color w:val="auto"/>
              </w:rPr>
            </w:pPr>
            <w:r>
              <w:rPr>
                <w:rFonts w:ascii="Arial" w:cs="Arial" w:eastAsia="Arial" w:hAnsi="Arial"/>
                <w:sz w:val="18"/>
                <w:szCs w:val="18"/>
                <w:color w:val="auto"/>
                <w:w w:val="99"/>
              </w:rPr>
              <w:t>2</w:t>
            </w:r>
          </w:p>
        </w:tc>
        <w:tc>
          <w:tcPr>
            <w:tcW w:w="800" w:type="dxa"/>
            <w:vAlign w:val="bottom"/>
            <w:tcBorders>
              <w:bottom w:val="single" w:sz="8" w:color="2D53A6"/>
            </w:tcBorders>
            <w:shd w:val="clear" w:color="auto" w:fill="E6E6E6"/>
          </w:tcPr>
          <w:p>
            <w:pPr>
              <w:jc w:val="center"/>
              <w:spacing w:after="0" w:line="19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380"/>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4660" w:type="dxa"/>
            <w:vAlign w:val="bottom"/>
          </w:tcPr>
          <w:p>
            <w:pPr>
              <w:ind w:left="60"/>
              <w:spacing w:after="0"/>
              <w:rPr>
                <w:sz w:val="20"/>
                <w:szCs w:val="20"/>
                <w:color w:val="auto"/>
              </w:rPr>
            </w:pPr>
            <w:r>
              <w:rPr>
                <w:rFonts w:ascii="Arial" w:cs="Arial" w:eastAsia="Arial" w:hAnsi="Arial"/>
                <w:sz w:val="18"/>
                <w:szCs w:val="18"/>
                <w:color w:val="auto"/>
              </w:rPr>
              <w:t>Measured as of 2025 annual meeting.</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4660" w:type="dxa"/>
            <w:vAlign w:val="bottom"/>
          </w:tcPr>
          <w:p>
            <w:pPr>
              <w:ind w:left="60"/>
              <w:spacing w:after="0"/>
              <w:rPr>
                <w:sz w:val="20"/>
                <w:szCs w:val="20"/>
                <w:color w:val="auto"/>
              </w:rPr>
            </w:pPr>
            <w:r>
              <w:rPr>
                <w:rFonts w:ascii="Arial" w:cs="Arial" w:eastAsia="Arial" w:hAnsi="Arial"/>
                <w:sz w:val="18"/>
                <w:szCs w:val="18"/>
                <w:color w:val="auto"/>
              </w:rPr>
              <w:t>As of April 2, 2025.</w:t>
            </w: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Corporate Governance Highlights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9280" w:type="dxa"/>
            <w:vAlign w:val="bottom"/>
            <w:tcBorders>
              <w:bottom w:val="single" w:sz="8" w:color="2D53A6"/>
              <w:right w:val="single" w:sz="8" w:color="2D53A6"/>
            </w:tcBorders>
            <w:shd w:val="clear" w:color="auto" w:fill="2D53A6"/>
          </w:tcPr>
          <w:p>
            <w:pPr>
              <w:ind w:left="80"/>
              <w:spacing w:after="0"/>
              <w:rPr>
                <w:sz w:val="20"/>
                <w:szCs w:val="20"/>
                <w:color w:val="auto"/>
              </w:rPr>
            </w:pPr>
            <w:r>
              <w:rPr>
                <w:rFonts w:ascii="Arial" w:cs="Arial" w:eastAsia="Arial" w:hAnsi="Arial"/>
                <w:sz w:val="18"/>
                <w:szCs w:val="18"/>
                <w:b w:val="1"/>
                <w:bCs w:val="1"/>
                <w:color w:val="FFFFFF"/>
              </w:rPr>
              <w:t>Board and Other Governance Information</w:t>
            </w:r>
          </w:p>
        </w:tc>
        <w:tc>
          <w:tcPr>
            <w:tcW w:w="1960" w:type="dxa"/>
            <w:vAlign w:val="bottom"/>
            <w:tcBorders>
              <w:bottom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As of April 2, 2025</w:t>
            </w:r>
          </w:p>
        </w:tc>
      </w:tr>
      <w:tr>
        <w:trPr>
          <w:trHeight w:val="288"/>
        </w:trPr>
        <w:tc>
          <w:tcPr>
            <w:tcW w:w="9280" w:type="dxa"/>
            <w:vAlign w:val="bottom"/>
            <w:tcBorders>
              <w:right w:val="single" w:sz="8" w:color="2D53A6"/>
            </w:tcBorders>
          </w:tcPr>
          <w:p>
            <w:pPr>
              <w:ind w:left="80"/>
              <w:spacing w:after="0"/>
              <w:rPr>
                <w:sz w:val="20"/>
                <w:szCs w:val="20"/>
                <w:color w:val="auto"/>
              </w:rPr>
            </w:pPr>
            <w:r>
              <w:rPr>
                <w:rFonts w:ascii="Arial" w:cs="Arial" w:eastAsia="Arial" w:hAnsi="Arial"/>
                <w:sz w:val="18"/>
                <w:szCs w:val="18"/>
                <w:color w:val="auto"/>
              </w:rPr>
              <w:t>Size of Board</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50"/>
        </w:trPr>
        <w:tc>
          <w:tcPr>
            <w:tcW w:w="9280" w:type="dxa"/>
            <w:vAlign w:val="bottom"/>
            <w:tcBorders>
              <w:bottom w:val="single" w:sz="8" w:color="2D53A6"/>
              <w:right w:val="single" w:sz="8" w:color="2D53A6"/>
            </w:tcBorders>
          </w:tcPr>
          <w:p>
            <w:pPr>
              <w:spacing w:after="0"/>
              <w:rPr>
                <w:sz w:val="4"/>
                <w:szCs w:val="4"/>
                <w:color w:val="auto"/>
              </w:rPr>
            </w:pPr>
          </w:p>
        </w:tc>
        <w:tc>
          <w:tcPr>
            <w:tcW w:w="1960" w:type="dxa"/>
            <w:vAlign w:val="bottom"/>
            <w:tcBorders>
              <w:bottom w:val="single" w:sz="8" w:color="2D53A6"/>
            </w:tcBorders>
          </w:tcPr>
          <w:p>
            <w:pPr>
              <w:spacing w:after="0"/>
              <w:rPr>
                <w:sz w:val="4"/>
                <w:szCs w:val="4"/>
                <w:color w:val="auto"/>
              </w:rPr>
            </w:pPr>
          </w:p>
        </w:tc>
      </w:tr>
      <w:tr>
        <w:trPr>
          <w:trHeight w:val="336"/>
        </w:trPr>
        <w:tc>
          <w:tcPr>
            <w:tcW w:w="9280" w:type="dxa"/>
            <w:vAlign w:val="bottom"/>
            <w:tcBorders>
              <w:bottom w:val="single" w:sz="8" w:color="E6E6E6"/>
              <w:right w:val="single" w:sz="8" w:color="2D53A6"/>
            </w:tcBorders>
            <w:shd w:val="clear" w:color="auto" w:fill="E6E6E6"/>
          </w:tcPr>
          <w:p>
            <w:pPr>
              <w:ind w:left="80"/>
              <w:spacing w:after="0"/>
              <w:rPr>
                <w:sz w:val="20"/>
                <w:szCs w:val="20"/>
                <w:color w:val="auto"/>
              </w:rPr>
            </w:pPr>
            <w:r>
              <w:rPr>
                <w:rFonts w:ascii="Arial" w:cs="Arial" w:eastAsia="Arial" w:hAnsi="Arial"/>
                <w:sz w:val="18"/>
                <w:szCs w:val="18"/>
                <w:color w:val="auto"/>
              </w:rPr>
              <w:t>Number of Independent Directors</w:t>
            </w:r>
          </w:p>
        </w:tc>
        <w:tc>
          <w:tcPr>
            <w:tcW w:w="19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7</w:t>
            </w:r>
          </w:p>
        </w:tc>
      </w:tr>
      <w:tr>
        <w:trPr>
          <w:trHeight w:val="281"/>
        </w:trPr>
        <w:tc>
          <w:tcPr>
            <w:tcW w:w="9280" w:type="dxa"/>
            <w:vAlign w:val="bottom"/>
            <w:tcBorders>
              <w:top w:val="single" w:sz="8" w:color="2D53A6"/>
              <w:right w:val="single" w:sz="8" w:color="2D53A6"/>
            </w:tcBorders>
          </w:tcPr>
          <w:p>
            <w:pPr>
              <w:ind w:left="80"/>
              <w:spacing w:after="0"/>
              <w:rPr>
                <w:sz w:val="20"/>
                <w:szCs w:val="20"/>
                <w:color w:val="auto"/>
              </w:rPr>
            </w:pPr>
            <w:r>
              <w:rPr>
                <w:rFonts w:ascii="Arial" w:cs="Arial" w:eastAsia="Arial" w:hAnsi="Arial"/>
                <w:sz w:val="18"/>
                <w:szCs w:val="18"/>
                <w:color w:val="auto"/>
              </w:rPr>
              <w:t>Number of Directors Who Attended ≥ 75% of Meetings</w:t>
            </w:r>
          </w:p>
        </w:tc>
        <w:tc>
          <w:tcPr>
            <w:tcW w:w="19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9"/>
              </w:rPr>
              <w:t xml:space="preserve">9 </w:t>
            </w:r>
            <w:r>
              <w:rPr>
                <w:rFonts w:ascii="Arial" w:cs="Arial" w:eastAsia="Arial" w:hAnsi="Arial"/>
                <w:sz w:val="14"/>
                <w:szCs w:val="14"/>
                <w:color w:val="auto"/>
                <w:w w:val="99"/>
              </w:rPr>
              <w:t>(1)</w:t>
            </w:r>
          </w:p>
        </w:tc>
      </w:tr>
      <w:tr>
        <w:trPr>
          <w:trHeight w:val="50"/>
        </w:trPr>
        <w:tc>
          <w:tcPr>
            <w:tcW w:w="9280" w:type="dxa"/>
            <w:vAlign w:val="bottom"/>
            <w:tcBorders>
              <w:bottom w:val="single" w:sz="8" w:color="2D53A6"/>
              <w:right w:val="single" w:sz="8" w:color="2D53A6"/>
            </w:tcBorders>
          </w:tcPr>
          <w:p>
            <w:pPr>
              <w:spacing w:after="0"/>
              <w:rPr>
                <w:sz w:val="4"/>
                <w:szCs w:val="4"/>
                <w:color w:val="auto"/>
              </w:rPr>
            </w:pPr>
          </w:p>
        </w:tc>
        <w:tc>
          <w:tcPr>
            <w:tcW w:w="1960" w:type="dxa"/>
            <w:vAlign w:val="bottom"/>
            <w:tcBorders>
              <w:bottom w:val="single" w:sz="8" w:color="2D53A6"/>
            </w:tcBorders>
          </w:tcPr>
          <w:p>
            <w:pPr>
              <w:spacing w:after="0"/>
              <w:rPr>
                <w:sz w:val="4"/>
                <w:szCs w:val="4"/>
                <w:color w:val="auto"/>
              </w:rPr>
            </w:pPr>
          </w:p>
        </w:tc>
      </w:tr>
      <w:tr>
        <w:trPr>
          <w:trHeight w:val="336"/>
        </w:trPr>
        <w:tc>
          <w:tcPr>
            <w:tcW w:w="9280" w:type="dxa"/>
            <w:vAlign w:val="bottom"/>
            <w:tcBorders>
              <w:bottom w:val="single" w:sz="8" w:color="E6E6E6"/>
              <w:right w:val="single" w:sz="8" w:color="2D53A6"/>
            </w:tcBorders>
            <w:shd w:val="clear" w:color="auto" w:fill="E6E6E6"/>
          </w:tcPr>
          <w:p>
            <w:pPr>
              <w:ind w:left="80"/>
              <w:spacing w:after="0"/>
              <w:rPr>
                <w:sz w:val="20"/>
                <w:szCs w:val="20"/>
                <w:color w:val="auto"/>
              </w:rPr>
            </w:pPr>
            <w:r>
              <w:rPr>
                <w:rFonts w:ascii="Arial" w:cs="Arial" w:eastAsia="Arial" w:hAnsi="Arial"/>
                <w:sz w:val="18"/>
                <w:szCs w:val="18"/>
                <w:color w:val="auto"/>
              </w:rPr>
              <w:t>Limitations on Other Public Board and Committee Memberships</w:t>
            </w:r>
          </w:p>
        </w:tc>
        <w:tc>
          <w:tcPr>
            <w:tcW w:w="19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0"/>
              </w:rPr>
              <w:t>Yes</w:t>
            </w:r>
          </w:p>
        </w:tc>
      </w:tr>
      <w:tr>
        <w:trPr>
          <w:trHeight w:val="281"/>
        </w:trPr>
        <w:tc>
          <w:tcPr>
            <w:tcW w:w="9280" w:type="dxa"/>
            <w:vAlign w:val="bottom"/>
            <w:tcBorders>
              <w:top w:val="single" w:sz="8" w:color="2D53A6"/>
              <w:right w:val="single" w:sz="8" w:color="2D53A6"/>
            </w:tcBorders>
          </w:tcPr>
          <w:p>
            <w:pPr>
              <w:ind w:left="80"/>
              <w:spacing w:after="0"/>
              <w:rPr>
                <w:sz w:val="20"/>
                <w:szCs w:val="20"/>
                <w:color w:val="auto"/>
              </w:rPr>
            </w:pPr>
            <w:r>
              <w:rPr>
                <w:rFonts w:ascii="Arial" w:cs="Arial" w:eastAsia="Arial" w:hAnsi="Arial"/>
                <w:sz w:val="18"/>
                <w:szCs w:val="18"/>
                <w:color w:val="auto"/>
              </w:rPr>
              <w:t>Hedging and Pledging Prohibited</w:t>
            </w:r>
          </w:p>
        </w:tc>
        <w:tc>
          <w:tcPr>
            <w:tcW w:w="19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0"/>
              </w:rPr>
              <w:t>Yes</w:t>
            </w:r>
          </w:p>
        </w:tc>
      </w:tr>
      <w:tr>
        <w:trPr>
          <w:trHeight w:val="50"/>
        </w:trPr>
        <w:tc>
          <w:tcPr>
            <w:tcW w:w="9280" w:type="dxa"/>
            <w:vAlign w:val="bottom"/>
            <w:tcBorders>
              <w:bottom w:val="single" w:sz="8" w:color="2D53A6"/>
              <w:right w:val="single" w:sz="8" w:color="2D53A6"/>
            </w:tcBorders>
          </w:tcPr>
          <w:p>
            <w:pPr>
              <w:spacing w:after="0"/>
              <w:rPr>
                <w:sz w:val="4"/>
                <w:szCs w:val="4"/>
                <w:color w:val="auto"/>
              </w:rPr>
            </w:pPr>
          </w:p>
        </w:tc>
        <w:tc>
          <w:tcPr>
            <w:tcW w:w="1960" w:type="dxa"/>
            <w:vAlign w:val="bottom"/>
            <w:tcBorders>
              <w:bottom w:val="single" w:sz="8" w:color="2D53A6"/>
            </w:tcBorders>
          </w:tcPr>
          <w:p>
            <w:pPr>
              <w:spacing w:after="0"/>
              <w:rPr>
                <w:sz w:val="4"/>
                <w:szCs w:val="4"/>
                <w:color w:val="auto"/>
              </w:rPr>
            </w:pPr>
          </w:p>
        </w:tc>
      </w:tr>
      <w:tr>
        <w:trPr>
          <w:trHeight w:val="336"/>
        </w:trPr>
        <w:tc>
          <w:tcPr>
            <w:tcW w:w="9280" w:type="dxa"/>
            <w:vAlign w:val="bottom"/>
            <w:tcBorders>
              <w:bottom w:val="single" w:sz="8" w:color="E6E6E6"/>
              <w:right w:val="single" w:sz="8" w:color="2D53A6"/>
            </w:tcBorders>
            <w:shd w:val="clear" w:color="auto" w:fill="E6E6E6"/>
          </w:tcPr>
          <w:p>
            <w:pPr>
              <w:ind w:left="80"/>
              <w:spacing w:after="0"/>
              <w:rPr>
                <w:sz w:val="20"/>
                <w:szCs w:val="20"/>
                <w:color w:val="auto"/>
              </w:rPr>
            </w:pPr>
            <w:r>
              <w:rPr>
                <w:rFonts w:ascii="Arial" w:cs="Arial" w:eastAsia="Arial" w:hAnsi="Arial"/>
                <w:sz w:val="18"/>
                <w:szCs w:val="18"/>
                <w:color w:val="auto"/>
              </w:rPr>
              <w:t>Voting Standard of Election of Directors</w:t>
            </w:r>
          </w:p>
        </w:tc>
        <w:tc>
          <w:tcPr>
            <w:tcW w:w="19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rPr>
              <w:t>Majority</w:t>
            </w:r>
          </w:p>
        </w:tc>
      </w:tr>
      <w:tr>
        <w:trPr>
          <w:trHeight w:val="281"/>
        </w:trPr>
        <w:tc>
          <w:tcPr>
            <w:tcW w:w="9280" w:type="dxa"/>
            <w:vAlign w:val="bottom"/>
            <w:tcBorders>
              <w:top w:val="single" w:sz="8" w:color="2D53A6"/>
              <w:right w:val="single" w:sz="8" w:color="2D53A6"/>
            </w:tcBorders>
          </w:tcPr>
          <w:p>
            <w:pPr>
              <w:ind w:left="80"/>
              <w:spacing w:after="0"/>
              <w:rPr>
                <w:sz w:val="20"/>
                <w:szCs w:val="20"/>
                <w:color w:val="auto"/>
              </w:rPr>
            </w:pPr>
            <w:r>
              <w:rPr>
                <w:rFonts w:ascii="Arial" w:cs="Arial" w:eastAsia="Arial" w:hAnsi="Arial"/>
                <w:sz w:val="18"/>
                <w:szCs w:val="18"/>
                <w:color w:val="auto"/>
              </w:rPr>
              <w:t>Plurality Voting Carveout for Contested Elections</w:t>
            </w:r>
          </w:p>
        </w:tc>
        <w:tc>
          <w:tcPr>
            <w:tcW w:w="19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0"/>
              </w:rPr>
              <w:t>Yes</w:t>
            </w:r>
          </w:p>
        </w:tc>
      </w:tr>
      <w:tr>
        <w:trPr>
          <w:trHeight w:val="50"/>
        </w:trPr>
        <w:tc>
          <w:tcPr>
            <w:tcW w:w="9280" w:type="dxa"/>
            <w:vAlign w:val="bottom"/>
            <w:tcBorders>
              <w:bottom w:val="single" w:sz="8" w:color="2D53A6"/>
              <w:right w:val="single" w:sz="8" w:color="2D53A6"/>
            </w:tcBorders>
          </w:tcPr>
          <w:p>
            <w:pPr>
              <w:spacing w:after="0"/>
              <w:rPr>
                <w:sz w:val="4"/>
                <w:szCs w:val="4"/>
                <w:color w:val="auto"/>
              </w:rPr>
            </w:pPr>
          </w:p>
        </w:tc>
        <w:tc>
          <w:tcPr>
            <w:tcW w:w="1960" w:type="dxa"/>
            <w:vAlign w:val="bottom"/>
            <w:tcBorders>
              <w:bottom w:val="single" w:sz="8" w:color="2D53A6"/>
            </w:tcBorders>
          </w:tcPr>
          <w:p>
            <w:pPr>
              <w:spacing w:after="0"/>
              <w:rPr>
                <w:sz w:val="4"/>
                <w:szCs w:val="4"/>
                <w:color w:val="auto"/>
              </w:rPr>
            </w:pPr>
          </w:p>
        </w:tc>
      </w:tr>
      <w:tr>
        <w:trPr>
          <w:trHeight w:val="336"/>
        </w:trPr>
        <w:tc>
          <w:tcPr>
            <w:tcW w:w="9280" w:type="dxa"/>
            <w:vAlign w:val="bottom"/>
            <w:tcBorders>
              <w:bottom w:val="single" w:sz="8" w:color="E6E6E6"/>
              <w:right w:val="single" w:sz="8" w:color="2D53A6"/>
            </w:tcBorders>
            <w:shd w:val="clear" w:color="auto" w:fill="E6E6E6"/>
          </w:tcPr>
          <w:p>
            <w:pPr>
              <w:ind w:left="80"/>
              <w:spacing w:after="0"/>
              <w:rPr>
                <w:sz w:val="20"/>
                <w:szCs w:val="20"/>
                <w:color w:val="auto"/>
              </w:rPr>
            </w:pPr>
            <w:r>
              <w:rPr>
                <w:rFonts w:ascii="Arial" w:cs="Arial" w:eastAsia="Arial" w:hAnsi="Arial"/>
                <w:sz w:val="18"/>
                <w:szCs w:val="18"/>
                <w:color w:val="auto"/>
              </w:rPr>
              <w:t>Separate Chair and CEO</w:t>
            </w:r>
          </w:p>
        </w:tc>
        <w:tc>
          <w:tcPr>
            <w:tcW w:w="19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0"/>
              </w:rPr>
              <w:t>Yes</w:t>
            </w:r>
          </w:p>
        </w:tc>
      </w:tr>
      <w:tr>
        <w:trPr>
          <w:trHeight w:val="281"/>
        </w:trPr>
        <w:tc>
          <w:tcPr>
            <w:tcW w:w="9280" w:type="dxa"/>
            <w:vAlign w:val="bottom"/>
            <w:tcBorders>
              <w:top w:val="single" w:sz="8" w:color="2D53A6"/>
              <w:right w:val="single" w:sz="8" w:color="2D53A6"/>
            </w:tcBorders>
          </w:tcPr>
          <w:p>
            <w:pPr>
              <w:ind w:left="80"/>
              <w:spacing w:after="0"/>
              <w:rPr>
                <w:sz w:val="20"/>
                <w:szCs w:val="20"/>
                <w:color w:val="auto"/>
              </w:rPr>
            </w:pPr>
            <w:r>
              <w:rPr>
                <w:rFonts w:ascii="Arial" w:cs="Arial" w:eastAsia="Arial" w:hAnsi="Arial"/>
                <w:sz w:val="18"/>
                <w:szCs w:val="18"/>
                <w:color w:val="auto"/>
              </w:rPr>
              <w:t>Lead Independent Director</w:t>
            </w:r>
          </w:p>
        </w:tc>
        <w:tc>
          <w:tcPr>
            <w:tcW w:w="19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0"/>
              </w:rPr>
              <w:t>Yes</w:t>
            </w:r>
          </w:p>
        </w:tc>
      </w:tr>
      <w:tr>
        <w:trPr>
          <w:trHeight w:val="50"/>
        </w:trPr>
        <w:tc>
          <w:tcPr>
            <w:tcW w:w="9280" w:type="dxa"/>
            <w:vAlign w:val="bottom"/>
            <w:tcBorders>
              <w:bottom w:val="single" w:sz="8" w:color="2D53A6"/>
              <w:right w:val="single" w:sz="8" w:color="2D53A6"/>
            </w:tcBorders>
          </w:tcPr>
          <w:p>
            <w:pPr>
              <w:spacing w:after="0"/>
              <w:rPr>
                <w:sz w:val="4"/>
                <w:szCs w:val="4"/>
                <w:color w:val="auto"/>
              </w:rPr>
            </w:pPr>
          </w:p>
        </w:tc>
        <w:tc>
          <w:tcPr>
            <w:tcW w:w="1960" w:type="dxa"/>
            <w:vAlign w:val="bottom"/>
            <w:tcBorders>
              <w:bottom w:val="single" w:sz="8" w:color="2D53A6"/>
            </w:tcBorders>
          </w:tcPr>
          <w:p>
            <w:pPr>
              <w:spacing w:after="0"/>
              <w:rPr>
                <w:sz w:val="4"/>
                <w:szCs w:val="4"/>
                <w:color w:val="auto"/>
              </w:rPr>
            </w:pPr>
          </w:p>
        </w:tc>
      </w:tr>
      <w:tr>
        <w:trPr>
          <w:trHeight w:val="336"/>
        </w:trPr>
        <w:tc>
          <w:tcPr>
            <w:tcW w:w="9280" w:type="dxa"/>
            <w:vAlign w:val="bottom"/>
            <w:tcBorders>
              <w:bottom w:val="single" w:sz="8" w:color="E6E6E6"/>
              <w:right w:val="single" w:sz="8" w:color="2D53A6"/>
            </w:tcBorders>
            <w:shd w:val="clear" w:color="auto" w:fill="E6E6E6"/>
          </w:tcPr>
          <w:p>
            <w:pPr>
              <w:ind w:left="80"/>
              <w:spacing w:after="0"/>
              <w:rPr>
                <w:sz w:val="20"/>
                <w:szCs w:val="20"/>
                <w:color w:val="auto"/>
              </w:rPr>
            </w:pPr>
            <w:r>
              <w:rPr>
                <w:rFonts w:ascii="Arial" w:cs="Arial" w:eastAsia="Arial" w:hAnsi="Arial"/>
                <w:sz w:val="18"/>
                <w:szCs w:val="18"/>
                <w:color w:val="auto"/>
              </w:rPr>
              <w:t>Independent Directors Meet Without Management Present</w:t>
            </w:r>
          </w:p>
        </w:tc>
        <w:tc>
          <w:tcPr>
            <w:tcW w:w="19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0"/>
              </w:rPr>
              <w:t>Yes</w:t>
            </w:r>
          </w:p>
        </w:tc>
      </w:tr>
      <w:tr>
        <w:trPr>
          <w:trHeight w:val="281"/>
        </w:trPr>
        <w:tc>
          <w:tcPr>
            <w:tcW w:w="9280" w:type="dxa"/>
            <w:vAlign w:val="bottom"/>
            <w:tcBorders>
              <w:top w:val="single" w:sz="8" w:color="2D53A6"/>
              <w:right w:val="single" w:sz="8" w:color="2D53A6"/>
            </w:tcBorders>
          </w:tcPr>
          <w:p>
            <w:pPr>
              <w:ind w:left="80"/>
              <w:spacing w:after="0"/>
              <w:rPr>
                <w:sz w:val="20"/>
                <w:szCs w:val="20"/>
                <w:color w:val="auto"/>
              </w:rPr>
            </w:pPr>
            <w:r>
              <w:rPr>
                <w:rFonts w:ascii="Arial" w:cs="Arial" w:eastAsia="Arial" w:hAnsi="Arial"/>
                <w:sz w:val="18"/>
                <w:szCs w:val="18"/>
                <w:color w:val="auto"/>
              </w:rPr>
              <w:t>Annual Board and Committee Self-Evaluations</w:t>
            </w:r>
          </w:p>
        </w:tc>
        <w:tc>
          <w:tcPr>
            <w:tcW w:w="19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0"/>
              </w:rPr>
              <w:t>Yes</w:t>
            </w:r>
          </w:p>
        </w:tc>
      </w:tr>
      <w:tr>
        <w:trPr>
          <w:trHeight w:val="50"/>
        </w:trPr>
        <w:tc>
          <w:tcPr>
            <w:tcW w:w="9280" w:type="dxa"/>
            <w:vAlign w:val="bottom"/>
            <w:tcBorders>
              <w:bottom w:val="single" w:sz="8" w:color="2D53A6"/>
              <w:right w:val="single" w:sz="8" w:color="2D53A6"/>
            </w:tcBorders>
          </w:tcPr>
          <w:p>
            <w:pPr>
              <w:spacing w:after="0"/>
              <w:rPr>
                <w:sz w:val="4"/>
                <w:szCs w:val="4"/>
                <w:color w:val="auto"/>
              </w:rPr>
            </w:pPr>
          </w:p>
        </w:tc>
        <w:tc>
          <w:tcPr>
            <w:tcW w:w="1960" w:type="dxa"/>
            <w:vAlign w:val="bottom"/>
            <w:tcBorders>
              <w:bottom w:val="single" w:sz="8" w:color="2D53A6"/>
            </w:tcBorders>
          </w:tcPr>
          <w:p>
            <w:pPr>
              <w:spacing w:after="0"/>
              <w:rPr>
                <w:sz w:val="4"/>
                <w:szCs w:val="4"/>
                <w:color w:val="auto"/>
              </w:rPr>
            </w:pPr>
          </w:p>
        </w:tc>
      </w:tr>
      <w:tr>
        <w:trPr>
          <w:trHeight w:val="336"/>
        </w:trPr>
        <w:tc>
          <w:tcPr>
            <w:tcW w:w="9280" w:type="dxa"/>
            <w:vAlign w:val="bottom"/>
            <w:tcBorders>
              <w:bottom w:val="single" w:sz="8" w:color="E6E6E6"/>
              <w:right w:val="single" w:sz="8" w:color="2D53A6"/>
            </w:tcBorders>
            <w:shd w:val="clear" w:color="auto" w:fill="E6E6E6"/>
          </w:tcPr>
          <w:p>
            <w:pPr>
              <w:ind w:left="80"/>
              <w:spacing w:after="0"/>
              <w:rPr>
                <w:sz w:val="20"/>
                <w:szCs w:val="20"/>
                <w:color w:val="auto"/>
              </w:rPr>
            </w:pPr>
            <w:r>
              <w:rPr>
                <w:rFonts w:ascii="Arial" w:cs="Arial" w:eastAsia="Arial" w:hAnsi="Arial"/>
                <w:sz w:val="18"/>
                <w:szCs w:val="18"/>
                <w:color w:val="auto"/>
              </w:rPr>
              <w:t>Annual Independent Director Evaluation of CEO</w:t>
            </w:r>
          </w:p>
        </w:tc>
        <w:tc>
          <w:tcPr>
            <w:tcW w:w="19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0"/>
              </w:rPr>
              <w:t>Yes</w:t>
            </w:r>
          </w:p>
        </w:tc>
      </w:tr>
      <w:tr>
        <w:trPr>
          <w:trHeight w:val="281"/>
        </w:trPr>
        <w:tc>
          <w:tcPr>
            <w:tcW w:w="9280" w:type="dxa"/>
            <w:vAlign w:val="bottom"/>
            <w:tcBorders>
              <w:top w:val="single" w:sz="8" w:color="2D53A6"/>
              <w:right w:val="single" w:sz="8" w:color="2D53A6"/>
            </w:tcBorders>
          </w:tcPr>
          <w:p>
            <w:pPr>
              <w:ind w:left="80"/>
              <w:spacing w:after="0"/>
              <w:rPr>
                <w:sz w:val="20"/>
                <w:szCs w:val="20"/>
                <w:color w:val="auto"/>
              </w:rPr>
            </w:pPr>
            <w:r>
              <w:rPr>
                <w:rFonts w:ascii="Arial" w:cs="Arial" w:eastAsia="Arial" w:hAnsi="Arial"/>
                <w:sz w:val="18"/>
                <w:szCs w:val="18"/>
                <w:color w:val="auto"/>
              </w:rPr>
              <w:t>Risk Oversight by Full Board and Committees</w:t>
            </w:r>
          </w:p>
        </w:tc>
        <w:tc>
          <w:tcPr>
            <w:tcW w:w="19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0"/>
              </w:rPr>
              <w:t>Yes</w:t>
            </w:r>
          </w:p>
        </w:tc>
      </w:tr>
      <w:tr>
        <w:trPr>
          <w:trHeight w:val="50"/>
        </w:trPr>
        <w:tc>
          <w:tcPr>
            <w:tcW w:w="9280" w:type="dxa"/>
            <w:vAlign w:val="bottom"/>
            <w:tcBorders>
              <w:bottom w:val="single" w:sz="8" w:color="2D53A6"/>
              <w:right w:val="single" w:sz="8" w:color="2D53A6"/>
            </w:tcBorders>
          </w:tcPr>
          <w:p>
            <w:pPr>
              <w:spacing w:after="0"/>
              <w:rPr>
                <w:sz w:val="4"/>
                <w:szCs w:val="4"/>
                <w:color w:val="auto"/>
              </w:rPr>
            </w:pPr>
          </w:p>
        </w:tc>
        <w:tc>
          <w:tcPr>
            <w:tcW w:w="1960" w:type="dxa"/>
            <w:vAlign w:val="bottom"/>
            <w:tcBorders>
              <w:bottom w:val="single" w:sz="8" w:color="2D53A6"/>
            </w:tcBorders>
          </w:tcPr>
          <w:p>
            <w:pPr>
              <w:spacing w:after="0"/>
              <w:rPr>
                <w:sz w:val="4"/>
                <w:szCs w:val="4"/>
                <w:color w:val="auto"/>
              </w:rPr>
            </w:pPr>
          </w:p>
        </w:tc>
      </w:tr>
      <w:tr>
        <w:trPr>
          <w:trHeight w:val="336"/>
        </w:trPr>
        <w:tc>
          <w:tcPr>
            <w:tcW w:w="9280" w:type="dxa"/>
            <w:vAlign w:val="bottom"/>
            <w:tcBorders>
              <w:bottom w:val="single" w:sz="8" w:color="E6E6E6"/>
              <w:right w:val="single" w:sz="8" w:color="2D53A6"/>
            </w:tcBorders>
            <w:shd w:val="clear" w:color="auto" w:fill="E6E6E6"/>
          </w:tcPr>
          <w:p>
            <w:pPr>
              <w:ind w:left="80"/>
              <w:spacing w:after="0"/>
              <w:rPr>
                <w:sz w:val="20"/>
                <w:szCs w:val="20"/>
                <w:color w:val="auto"/>
              </w:rPr>
            </w:pPr>
            <w:r>
              <w:rPr>
                <w:rFonts w:ascii="Arial" w:cs="Arial" w:eastAsia="Arial" w:hAnsi="Arial"/>
                <w:sz w:val="18"/>
                <w:szCs w:val="18"/>
                <w:color w:val="auto"/>
              </w:rPr>
              <w:t>Commitment to Board Diversity</w:t>
            </w:r>
          </w:p>
        </w:tc>
        <w:tc>
          <w:tcPr>
            <w:tcW w:w="19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0"/>
              </w:rPr>
              <w:t>Yes</w:t>
            </w:r>
          </w:p>
        </w:tc>
      </w:tr>
      <w:tr>
        <w:trPr>
          <w:trHeight w:val="281"/>
        </w:trPr>
        <w:tc>
          <w:tcPr>
            <w:tcW w:w="9280" w:type="dxa"/>
            <w:vAlign w:val="bottom"/>
            <w:tcBorders>
              <w:top w:val="single" w:sz="8" w:color="2D53A6"/>
              <w:right w:val="single" w:sz="8" w:color="2D53A6"/>
            </w:tcBorders>
          </w:tcPr>
          <w:p>
            <w:pPr>
              <w:ind w:left="80"/>
              <w:spacing w:after="0"/>
              <w:rPr>
                <w:sz w:val="20"/>
                <w:szCs w:val="20"/>
                <w:color w:val="auto"/>
              </w:rPr>
            </w:pPr>
            <w:r>
              <w:rPr>
                <w:rFonts w:ascii="Arial" w:cs="Arial" w:eastAsia="Arial" w:hAnsi="Arial"/>
                <w:sz w:val="18"/>
                <w:szCs w:val="18"/>
                <w:color w:val="auto"/>
              </w:rPr>
              <w:t>Significant Board Engagement - 30 Board and Committee meetings held in 2024</w:t>
            </w:r>
          </w:p>
        </w:tc>
        <w:tc>
          <w:tcPr>
            <w:tcW w:w="19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0"/>
              </w:rPr>
              <w:t>Yes</w:t>
            </w:r>
          </w:p>
        </w:tc>
      </w:tr>
      <w:tr>
        <w:trPr>
          <w:trHeight w:val="50"/>
        </w:trPr>
        <w:tc>
          <w:tcPr>
            <w:tcW w:w="9280" w:type="dxa"/>
            <w:vAlign w:val="bottom"/>
            <w:tcBorders>
              <w:bottom w:val="single" w:sz="8" w:color="2D53A6"/>
              <w:right w:val="single" w:sz="8" w:color="2D53A6"/>
            </w:tcBorders>
          </w:tcPr>
          <w:p>
            <w:pPr>
              <w:spacing w:after="0"/>
              <w:rPr>
                <w:sz w:val="4"/>
                <w:szCs w:val="4"/>
                <w:color w:val="auto"/>
              </w:rPr>
            </w:pPr>
          </w:p>
        </w:tc>
        <w:tc>
          <w:tcPr>
            <w:tcW w:w="1960" w:type="dxa"/>
            <w:vAlign w:val="bottom"/>
            <w:tcBorders>
              <w:bottom w:val="single" w:sz="8" w:color="2D53A6"/>
            </w:tcBorders>
          </w:tcPr>
          <w:p>
            <w:pPr>
              <w:spacing w:after="0"/>
              <w:rPr>
                <w:sz w:val="4"/>
                <w:szCs w:val="4"/>
                <w:color w:val="auto"/>
              </w:rPr>
            </w:pPr>
          </w:p>
        </w:tc>
      </w:tr>
      <w:tr>
        <w:trPr>
          <w:trHeight w:val="336"/>
        </w:trPr>
        <w:tc>
          <w:tcPr>
            <w:tcW w:w="9280" w:type="dxa"/>
            <w:vAlign w:val="bottom"/>
            <w:tcBorders>
              <w:bottom w:val="single" w:sz="8" w:color="E6E6E6"/>
              <w:right w:val="single" w:sz="8" w:color="2D53A6"/>
            </w:tcBorders>
            <w:shd w:val="clear" w:color="auto" w:fill="E6E6E6"/>
          </w:tcPr>
          <w:p>
            <w:pPr>
              <w:ind w:left="80"/>
              <w:spacing w:after="0"/>
              <w:rPr>
                <w:sz w:val="20"/>
                <w:szCs w:val="20"/>
                <w:color w:val="auto"/>
              </w:rPr>
            </w:pPr>
            <w:r>
              <w:rPr>
                <w:rFonts w:ascii="Arial" w:cs="Arial" w:eastAsia="Arial" w:hAnsi="Arial"/>
                <w:sz w:val="18"/>
                <w:szCs w:val="18"/>
                <w:color w:val="auto"/>
              </w:rPr>
              <w:t>Code of Ethics Applicable to Directors</w:t>
            </w:r>
          </w:p>
        </w:tc>
        <w:tc>
          <w:tcPr>
            <w:tcW w:w="19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0"/>
              </w:rPr>
              <w:t>Yes</w:t>
            </w:r>
          </w:p>
        </w:tc>
      </w:tr>
      <w:tr>
        <w:trPr>
          <w:trHeight w:val="281"/>
        </w:trPr>
        <w:tc>
          <w:tcPr>
            <w:tcW w:w="9280" w:type="dxa"/>
            <w:vAlign w:val="bottom"/>
            <w:tcBorders>
              <w:top w:val="single" w:sz="8" w:color="2D53A6"/>
              <w:right w:val="single" w:sz="8" w:color="2D53A6"/>
            </w:tcBorders>
          </w:tcPr>
          <w:p>
            <w:pPr>
              <w:ind w:left="80"/>
              <w:spacing w:after="0"/>
              <w:rPr>
                <w:sz w:val="20"/>
                <w:szCs w:val="20"/>
                <w:color w:val="auto"/>
              </w:rPr>
            </w:pPr>
            <w:r>
              <w:rPr>
                <w:rFonts w:ascii="Arial" w:cs="Arial" w:eastAsia="Arial" w:hAnsi="Arial"/>
                <w:sz w:val="18"/>
                <w:szCs w:val="18"/>
                <w:color w:val="auto"/>
              </w:rPr>
              <w:t>Stockholder Engagement Program - Conducted 232 investor and prospective investor meetings in 2024</w:t>
            </w:r>
          </w:p>
        </w:tc>
        <w:tc>
          <w:tcPr>
            <w:tcW w:w="19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0"/>
              </w:rPr>
              <w:t>Yes</w:t>
            </w:r>
          </w:p>
        </w:tc>
      </w:tr>
      <w:tr>
        <w:trPr>
          <w:trHeight w:val="50"/>
        </w:trPr>
        <w:tc>
          <w:tcPr>
            <w:tcW w:w="9280" w:type="dxa"/>
            <w:vAlign w:val="bottom"/>
            <w:tcBorders>
              <w:bottom w:val="single" w:sz="8" w:color="2D53A6"/>
              <w:right w:val="single" w:sz="8" w:color="2D53A6"/>
            </w:tcBorders>
          </w:tcPr>
          <w:p>
            <w:pPr>
              <w:spacing w:after="0"/>
              <w:rPr>
                <w:sz w:val="4"/>
                <w:szCs w:val="4"/>
                <w:color w:val="auto"/>
              </w:rPr>
            </w:pPr>
          </w:p>
        </w:tc>
        <w:tc>
          <w:tcPr>
            <w:tcW w:w="1960" w:type="dxa"/>
            <w:vAlign w:val="bottom"/>
            <w:tcBorders>
              <w:bottom w:val="single" w:sz="8" w:color="2D53A6"/>
            </w:tcBorders>
          </w:tcPr>
          <w:p>
            <w:pPr>
              <w:spacing w:after="0"/>
              <w:rPr>
                <w:sz w:val="4"/>
                <w:szCs w:val="4"/>
                <w:color w:val="auto"/>
              </w:rPr>
            </w:pPr>
          </w:p>
        </w:tc>
      </w:tr>
      <w:tr>
        <w:trPr>
          <w:trHeight w:val="336"/>
        </w:trPr>
        <w:tc>
          <w:tcPr>
            <w:tcW w:w="9280" w:type="dxa"/>
            <w:vAlign w:val="bottom"/>
            <w:tcBorders>
              <w:bottom w:val="single" w:sz="8" w:color="E6E6E6"/>
              <w:right w:val="single" w:sz="8" w:color="2D53A6"/>
            </w:tcBorders>
            <w:shd w:val="clear" w:color="auto" w:fill="E6E6E6"/>
          </w:tcPr>
          <w:p>
            <w:pPr>
              <w:ind w:left="80"/>
              <w:spacing w:after="0"/>
              <w:rPr>
                <w:sz w:val="20"/>
                <w:szCs w:val="20"/>
                <w:color w:val="auto"/>
              </w:rPr>
            </w:pPr>
            <w:r>
              <w:rPr>
                <w:rFonts w:ascii="Arial" w:cs="Arial" w:eastAsia="Arial" w:hAnsi="Arial"/>
                <w:sz w:val="18"/>
                <w:szCs w:val="18"/>
                <w:color w:val="auto"/>
              </w:rPr>
              <w:t>Poison Pill</w:t>
            </w:r>
          </w:p>
        </w:tc>
        <w:tc>
          <w:tcPr>
            <w:tcW w:w="19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rPr>
              <w:t>No</w:t>
            </w:r>
          </w:p>
        </w:tc>
      </w:tr>
      <w:tr>
        <w:trPr>
          <w:trHeight w:val="281"/>
        </w:trPr>
        <w:tc>
          <w:tcPr>
            <w:tcW w:w="9280" w:type="dxa"/>
            <w:vAlign w:val="bottom"/>
            <w:tcBorders>
              <w:top w:val="single" w:sz="8" w:color="2D53A6"/>
              <w:right w:val="single" w:sz="8" w:color="2D53A6"/>
            </w:tcBorders>
          </w:tcPr>
          <w:p>
            <w:pPr>
              <w:ind w:left="80"/>
              <w:spacing w:after="0"/>
              <w:rPr>
                <w:sz w:val="20"/>
                <w:szCs w:val="20"/>
                <w:color w:val="auto"/>
              </w:rPr>
            </w:pPr>
            <w:r>
              <w:rPr>
                <w:rFonts w:ascii="Arial" w:cs="Arial" w:eastAsia="Arial" w:hAnsi="Arial"/>
                <w:sz w:val="18"/>
                <w:szCs w:val="18"/>
                <w:color w:val="auto"/>
              </w:rPr>
              <w:t>Board Oversight of Sustainability</w:t>
            </w:r>
          </w:p>
        </w:tc>
        <w:tc>
          <w:tcPr>
            <w:tcW w:w="19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0"/>
              </w:rPr>
              <w:t>Yes</w:t>
            </w:r>
          </w:p>
        </w:tc>
      </w:tr>
      <w:tr>
        <w:trPr>
          <w:trHeight w:val="50"/>
        </w:trPr>
        <w:tc>
          <w:tcPr>
            <w:tcW w:w="9280" w:type="dxa"/>
            <w:vAlign w:val="bottom"/>
            <w:tcBorders>
              <w:bottom w:val="single" w:sz="8" w:color="2D53A6"/>
              <w:right w:val="single" w:sz="8" w:color="2D53A6"/>
            </w:tcBorders>
          </w:tcPr>
          <w:p>
            <w:pPr>
              <w:spacing w:after="0"/>
              <w:rPr>
                <w:sz w:val="4"/>
                <w:szCs w:val="4"/>
                <w:color w:val="auto"/>
              </w:rPr>
            </w:pPr>
          </w:p>
        </w:tc>
        <w:tc>
          <w:tcPr>
            <w:tcW w:w="1960" w:type="dxa"/>
            <w:vAlign w:val="bottom"/>
            <w:tcBorders>
              <w:bottom w:val="single" w:sz="8" w:color="2D53A6"/>
            </w:tcBorders>
          </w:tcPr>
          <w:p>
            <w:pPr>
              <w:spacing w:after="0"/>
              <w:rPr>
                <w:sz w:val="4"/>
                <w:szCs w:val="4"/>
                <w:color w:val="auto"/>
              </w:rPr>
            </w:pPr>
          </w:p>
        </w:tc>
      </w:tr>
      <w:tr>
        <w:trPr>
          <w:trHeight w:val="336"/>
        </w:trPr>
        <w:tc>
          <w:tcPr>
            <w:tcW w:w="9280" w:type="dxa"/>
            <w:vAlign w:val="bottom"/>
            <w:tcBorders>
              <w:bottom w:val="single" w:sz="8" w:color="E6E6E6"/>
              <w:right w:val="single" w:sz="8" w:color="2D53A6"/>
            </w:tcBorders>
            <w:shd w:val="clear" w:color="auto" w:fill="E6E6E6"/>
          </w:tcPr>
          <w:p>
            <w:pPr>
              <w:ind w:left="80"/>
              <w:spacing w:after="0"/>
              <w:rPr>
                <w:sz w:val="20"/>
                <w:szCs w:val="20"/>
                <w:color w:val="auto"/>
              </w:rPr>
            </w:pPr>
            <w:r>
              <w:rPr>
                <w:rFonts w:ascii="Arial" w:cs="Arial" w:eastAsia="Arial" w:hAnsi="Arial"/>
                <w:sz w:val="18"/>
                <w:szCs w:val="18"/>
                <w:color w:val="auto"/>
              </w:rPr>
              <w:t>Publication of Annual Sustainability Report on Our Website</w:t>
            </w:r>
          </w:p>
        </w:tc>
        <w:tc>
          <w:tcPr>
            <w:tcW w:w="19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0"/>
              </w:rPr>
              <w:t>Yes</w:t>
            </w:r>
          </w:p>
        </w:tc>
      </w:tr>
      <w:tr>
        <w:trPr>
          <w:trHeight w:val="281"/>
        </w:trPr>
        <w:tc>
          <w:tcPr>
            <w:tcW w:w="9280" w:type="dxa"/>
            <w:vAlign w:val="bottom"/>
            <w:tcBorders>
              <w:top w:val="single" w:sz="8" w:color="2D53A6"/>
              <w:right w:val="single" w:sz="8" w:color="2D53A6"/>
            </w:tcBorders>
          </w:tcPr>
          <w:p>
            <w:pPr>
              <w:ind w:left="80"/>
              <w:spacing w:after="0"/>
              <w:rPr>
                <w:sz w:val="20"/>
                <w:szCs w:val="20"/>
                <w:color w:val="auto"/>
              </w:rPr>
            </w:pPr>
            <w:r>
              <w:rPr>
                <w:rFonts w:ascii="Arial" w:cs="Arial" w:eastAsia="Arial" w:hAnsi="Arial"/>
                <w:sz w:val="18"/>
                <w:szCs w:val="18"/>
                <w:color w:val="auto"/>
              </w:rPr>
              <w:t>Board Oversight of Cybersecurity Risks</w:t>
            </w:r>
          </w:p>
        </w:tc>
        <w:tc>
          <w:tcPr>
            <w:tcW w:w="19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0"/>
              </w:rPr>
              <w:t>Yes</w:t>
            </w:r>
          </w:p>
        </w:tc>
      </w:tr>
      <w:tr>
        <w:trPr>
          <w:trHeight w:val="50"/>
        </w:trPr>
        <w:tc>
          <w:tcPr>
            <w:tcW w:w="9280" w:type="dxa"/>
            <w:vAlign w:val="bottom"/>
            <w:tcBorders>
              <w:bottom w:val="single" w:sz="8" w:color="2D53A6"/>
              <w:right w:val="single" w:sz="8" w:color="2D53A6"/>
            </w:tcBorders>
          </w:tcPr>
          <w:p>
            <w:pPr>
              <w:spacing w:after="0"/>
              <w:rPr>
                <w:sz w:val="4"/>
                <w:szCs w:val="4"/>
                <w:color w:val="auto"/>
              </w:rPr>
            </w:pPr>
          </w:p>
        </w:tc>
        <w:tc>
          <w:tcPr>
            <w:tcW w:w="1960" w:type="dxa"/>
            <w:vAlign w:val="bottom"/>
            <w:tcBorders>
              <w:bottom w:val="single" w:sz="8" w:color="2D53A6"/>
            </w:tcBorders>
          </w:tcPr>
          <w:p>
            <w:pPr>
              <w:spacing w:after="0"/>
              <w:rPr>
                <w:sz w:val="4"/>
                <w:szCs w:val="4"/>
                <w:color w:val="auto"/>
              </w:rPr>
            </w:pPr>
          </w:p>
        </w:tc>
      </w:tr>
    </w:tbl>
    <w:p>
      <w:pPr>
        <w:spacing w:after="0" w:line="19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During the period for which they were directors or committee members.</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Shareholder Outreach</w:t>
      </w:r>
    </w:p>
    <w:p>
      <w:pPr>
        <w:spacing w:after="0" w:line="218" w:lineRule="exact"/>
        <w:rPr>
          <w:sz w:val="20"/>
          <w:szCs w:val="20"/>
          <w:color w:val="auto"/>
        </w:rPr>
      </w:pPr>
    </w:p>
    <w:p>
      <w:pPr>
        <w:ind w:right="380"/>
        <w:spacing w:after="0" w:line="247" w:lineRule="auto"/>
        <w:rPr>
          <w:sz w:val="20"/>
          <w:szCs w:val="20"/>
          <w:color w:val="auto"/>
        </w:rPr>
      </w:pPr>
      <w:r>
        <w:rPr>
          <w:rFonts w:ascii="Arial" w:cs="Arial" w:eastAsia="Arial" w:hAnsi="Arial"/>
          <w:sz w:val="18"/>
          <w:szCs w:val="18"/>
          <w:color w:val="auto"/>
        </w:rPr>
        <w:t>The Company regularly engages with its shareholders primarily covering topics such as financial performance, strategy, and market assessment. Our shareholder engagements take place in a combination of forms, including investor conferences, dedicated in-person or virtual meetings and phone calls. Cohu management routinely reports to the Board and specific Board committees on the substance and nature of its shareholder discussions.</w:t>
      </w:r>
    </w:p>
    <w:p>
      <w:pPr>
        <w:spacing w:after="0" w:line="16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Increasingly, topics such as compensation matters, human capital management, corporate governance and other Environmental, Social and Governance (“ESG”) matters are addressed during shareholder engagements. Moreover, there are on-going efforts by the Nominating and Governance Committee to consider the appropriate mix of skills, competencies, backgrounds and perspectives on the Board.</w:t>
      </w:r>
    </w:p>
    <w:p>
      <w:pPr>
        <w:spacing w:after="0" w:line="15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 2024, approximately 232 one-on-one meetings were held with shareholders and prospective shareholders, including 18 of the Company’s top 25 largest shareholders.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What We Do</w:t>
      </w:r>
    </w:p>
    <w:p>
      <w:pPr>
        <w:spacing w:after="0" w:line="166"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b w:val="1"/>
          <w:bCs w:val="1"/>
          <w:color w:val="auto"/>
        </w:rPr>
        <w:t xml:space="preserve">Pay for Performance </w:t>
      </w:r>
      <w:r>
        <w:rPr>
          <w:rFonts w:ascii="Arial" w:cs="Arial" w:eastAsia="Arial" w:hAnsi="Arial"/>
          <w:sz w:val="18"/>
          <w:szCs w:val="18"/>
          <w:color w:val="auto"/>
        </w:rPr>
        <w:t>- Our executive compensation program is designed to pay for performance with 100% of the annual Short-Term</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(“STI”) program tied to Company financial, strategic and operational performance metrics, and 60% of the Long-Term Incentive (“LTI”) program tied to relative total stockholder return (“TSR”)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4800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43"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b w:val="1"/>
          <w:bCs w:val="1"/>
          <w:color w:val="auto"/>
        </w:rPr>
        <w:t xml:space="preserve">Balance of Annual and Long-Term Incentives </w:t>
      </w:r>
      <w:r>
        <w:rPr>
          <w:rFonts w:ascii="Arial" w:cs="Arial" w:eastAsia="Arial" w:hAnsi="Arial"/>
          <w:sz w:val="18"/>
          <w:szCs w:val="18"/>
          <w:color w:val="auto"/>
        </w:rPr>
        <w:t>- Our incentive compensation programs provide a balance of annual and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incentives.</w:t>
      </w:r>
    </w:p>
    <w:p>
      <w:pPr>
        <w:spacing w:after="0" w:line="248"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color w:val="auto"/>
        </w:rPr>
        <w:t xml:space="preserve">Different Performance Metrics for Annual and Long-Term Incentive Programs </w:t>
      </w:r>
      <w:r>
        <w:rPr>
          <w:rFonts w:ascii="Arial" w:cs="Arial" w:eastAsia="Arial" w:hAnsi="Arial"/>
          <w:sz w:val="18"/>
          <w:szCs w:val="18"/>
          <w:color w:val="auto"/>
        </w:rPr>
        <w:t>- Our annual and long-term incentive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use different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4800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2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auto"/>
        </w:rPr>
        <w:t xml:space="preserve">Absolute and Relative Performance Metrics </w:t>
      </w:r>
      <w:r>
        <w:rPr>
          <w:rFonts w:ascii="Arial" w:cs="Arial" w:eastAsia="Arial" w:hAnsi="Arial"/>
          <w:sz w:val="18"/>
          <w:szCs w:val="18"/>
          <w:color w:val="auto"/>
        </w:rPr>
        <w:t>- Our annual and long-term incentive compensation programs for executive officers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the use of absolute and relative performance metrics.</w:t>
      </w:r>
    </w:p>
    <w:p>
      <w:pPr>
        <w:spacing w:after="0" w:line="248"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color w:val="auto"/>
        </w:rPr>
        <w:t xml:space="preserve">Three-Year Performance Period for Our Long-Term Incentive Program </w:t>
      </w:r>
      <w:r>
        <w:rPr>
          <w:rFonts w:ascii="Arial" w:cs="Arial" w:eastAsia="Arial" w:hAnsi="Arial"/>
          <w:sz w:val="18"/>
          <w:szCs w:val="18"/>
          <w:color w:val="auto"/>
        </w:rPr>
        <w:t>- Our current long-term incentive compensation program is</w:t>
      </w:r>
      <w:r>
        <w:rPr>
          <w:rFonts w:ascii="Arial" w:cs="Arial" w:eastAsia="Arial" w:hAnsi="Arial"/>
          <w:sz w:val="18"/>
          <w:szCs w:val="18"/>
          <w:b w:val="1"/>
          <w:bCs w:val="1"/>
          <w:color w:val="auto"/>
        </w:rPr>
        <w:t xml:space="preserve"> </w:t>
      </w:r>
      <w:r>
        <w:rPr>
          <w:rFonts w:ascii="Arial" w:cs="Arial" w:eastAsia="Arial" w:hAnsi="Arial"/>
          <w:sz w:val="18"/>
          <w:szCs w:val="18"/>
          <w:color w:val="auto"/>
        </w:rPr>
        <w:t>designed to pay for performance over a period of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3511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Capped Amounts </w:t>
      </w:r>
      <w:r>
        <w:rPr>
          <w:rFonts w:ascii="Arial" w:cs="Arial" w:eastAsia="Arial" w:hAnsi="Arial"/>
          <w:sz w:val="18"/>
          <w:szCs w:val="18"/>
          <w:color w:val="auto"/>
        </w:rPr>
        <w:t>- Amounts that can be earned under the annual and long-term incentive compensation programs are capped.</w:t>
      </w:r>
    </w:p>
    <w:p>
      <w:pPr>
        <w:spacing w:after="0" w:line="30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auto"/>
        </w:rPr>
        <w:t xml:space="preserve">Compensation Recoupment/Clawback Policy </w:t>
      </w:r>
      <w:r>
        <w:rPr>
          <w:rFonts w:ascii="Arial" w:cs="Arial" w:eastAsia="Arial" w:hAnsi="Arial"/>
          <w:sz w:val="18"/>
          <w:szCs w:val="18"/>
          <w:color w:val="auto"/>
        </w:rPr>
        <w:t>- We have a policy pursuant to which incentive compensation erroneously awarded to our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is subject to recoupment under certain circumstances if our financial results are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4800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28"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color w:val="auto"/>
        </w:rPr>
        <w:t xml:space="preserve">Stock Ownership Guidelines </w:t>
      </w:r>
      <w:r>
        <w:rPr>
          <w:rFonts w:ascii="Arial" w:cs="Arial" w:eastAsia="Arial" w:hAnsi="Arial"/>
          <w:sz w:val="18"/>
          <w:szCs w:val="18"/>
          <w:color w:val="auto"/>
        </w:rPr>
        <w:t>- We have stock ownership guidelines for each of our executive officers and each has met their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level under the current program or has a period of time remaining under the guidelines to do so.</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Independent Compensation Advisor </w:t>
      </w:r>
      <w:r>
        <w:rPr>
          <w:rFonts w:ascii="Arial" w:cs="Arial" w:eastAsia="Arial" w:hAnsi="Arial"/>
          <w:sz w:val="18"/>
          <w:szCs w:val="18"/>
          <w:color w:val="auto"/>
        </w:rPr>
        <w:t>- The Compensation Committee benefits from its utilization of an independent compensation advisor,</w:t>
      </w:r>
      <w:r>
        <w:rPr>
          <w:rFonts w:ascii="Arial" w:cs="Arial" w:eastAsia="Arial" w:hAnsi="Arial"/>
          <w:sz w:val="18"/>
          <w:szCs w:val="18"/>
          <w:b w:val="1"/>
          <w:bCs w:val="1"/>
          <w:color w:val="auto"/>
        </w:rPr>
        <w:t xml:space="preserve"> </w:t>
      </w:r>
      <w:r>
        <w:rPr>
          <w:rFonts w:ascii="Arial" w:cs="Arial" w:eastAsia="Arial" w:hAnsi="Arial"/>
          <w:sz w:val="18"/>
          <w:szCs w:val="18"/>
          <w:color w:val="auto"/>
        </w:rPr>
        <w:t>retained directly by the committee, that provides no other services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3511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Say-on-Pay </w:t>
      </w:r>
      <w:r>
        <w:rPr>
          <w:rFonts w:ascii="Arial" w:cs="Arial" w:eastAsia="Arial" w:hAnsi="Arial"/>
          <w:sz w:val="18"/>
          <w:szCs w:val="18"/>
          <w:color w:val="auto"/>
        </w:rPr>
        <w:t>- We annually seek a non-binding advisory stockholder vote to approve our named executive officer compensation.</w:t>
      </w:r>
    </w:p>
    <w:p>
      <w:pPr>
        <w:spacing w:after="0" w:line="306"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b w:val="1"/>
          <w:bCs w:val="1"/>
          <w:color w:val="auto"/>
        </w:rPr>
        <w:t xml:space="preserve">Stockholder Engagement </w:t>
      </w:r>
      <w:r>
        <w:rPr>
          <w:rFonts w:ascii="Arial" w:cs="Arial" w:eastAsia="Arial" w:hAnsi="Arial"/>
          <w:sz w:val="18"/>
          <w:szCs w:val="18"/>
          <w:color w:val="auto"/>
        </w:rPr>
        <w:t>- We engage with stockholders regularly and stockholder advisory firms on an as needed basis to obtain</w:t>
      </w:r>
      <w:r>
        <w:rPr>
          <w:rFonts w:ascii="Arial" w:cs="Arial" w:eastAsia="Arial" w:hAnsi="Arial"/>
          <w:sz w:val="18"/>
          <w:szCs w:val="18"/>
          <w:b w:val="1"/>
          <w:bCs w:val="1"/>
          <w:color w:val="auto"/>
        </w:rPr>
        <w:t xml:space="preserve"> </w:t>
      </w:r>
      <w:r>
        <w:rPr>
          <w:rFonts w:ascii="Arial" w:cs="Arial" w:eastAsia="Arial" w:hAnsi="Arial"/>
          <w:sz w:val="18"/>
          <w:szCs w:val="18"/>
          <w:color w:val="auto"/>
        </w:rPr>
        <w:t>feedback concerning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14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4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What We Don</w:t>
      </w:r>
      <w:r>
        <w:rPr>
          <w:rFonts w:ascii="Arial" w:cs="Arial" w:eastAsia="Arial" w:hAnsi="Arial"/>
          <w:sz w:val="18"/>
          <w:szCs w:val="18"/>
          <w:color w:val="FFFFFF"/>
        </w:rPr>
        <w:t>’</w:t>
      </w:r>
      <w:r>
        <w:rPr>
          <w:rFonts w:ascii="Arial" w:cs="Arial" w:eastAsia="Arial" w:hAnsi="Arial"/>
          <w:sz w:val="18"/>
          <w:szCs w:val="18"/>
          <w:b w:val="1"/>
          <w:bCs w:val="1"/>
          <w:color w:val="FFFFFF"/>
        </w:rPr>
        <w:t>t Do</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“Single-Trigger</w:t>
      </w:r>
      <w:r>
        <w:rPr>
          <w:rFonts w:ascii="Arial" w:cs="Arial" w:eastAsia="Arial" w:hAnsi="Arial"/>
          <w:sz w:val="18"/>
          <w:szCs w:val="18"/>
          <w:color w:val="auto"/>
        </w:rPr>
        <w:t>”</w:t>
      </w:r>
      <w:r>
        <w:rPr>
          <w:rFonts w:ascii="Arial" w:cs="Arial" w:eastAsia="Arial" w:hAnsi="Arial"/>
          <w:sz w:val="18"/>
          <w:szCs w:val="18"/>
          <w:b w:val="1"/>
          <w:bCs w:val="1"/>
          <w:color w:val="auto"/>
        </w:rPr>
        <w:t xml:space="preserve"> Change in Control Provisions </w:t>
      </w:r>
      <w:r>
        <w:rPr>
          <w:rFonts w:ascii="Arial" w:cs="Arial" w:eastAsia="Arial" w:hAnsi="Arial"/>
          <w:sz w:val="18"/>
          <w:szCs w:val="18"/>
          <w:color w:val="auto"/>
        </w:rPr>
        <w:t>- Our executive change in control policy does not have “single-trigger” provisions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any non-equity payments 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4800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28"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color w:val="auto"/>
        </w:rPr>
        <w:t xml:space="preserve">Minimum Amounts </w:t>
      </w:r>
      <w:r>
        <w:rPr>
          <w:rFonts w:ascii="Arial" w:cs="Arial" w:eastAsia="Arial" w:hAnsi="Arial"/>
          <w:sz w:val="18"/>
          <w:szCs w:val="18"/>
          <w:color w:val="auto"/>
        </w:rPr>
        <w:t>- Amounts under the annual and long-term incentive compensation programs have no guaranteed minimum and can</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effectively be “zero” for any performance period for unsatisfactory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Option Repricing Prohibited </w:t>
      </w:r>
      <w:r>
        <w:rPr>
          <w:rFonts w:ascii="Arial" w:cs="Arial" w:eastAsia="Arial" w:hAnsi="Arial"/>
          <w:sz w:val="18"/>
          <w:szCs w:val="18"/>
          <w:color w:val="auto"/>
        </w:rPr>
        <w:t>- Our stock incentive plans prohibit option repricing without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4800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86"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Hedging and Pledging Prohibited </w:t>
      </w:r>
      <w:r>
        <w:rPr>
          <w:rFonts w:ascii="Arial" w:cs="Arial" w:eastAsia="Arial" w:hAnsi="Arial"/>
          <w:sz w:val="18"/>
          <w:szCs w:val="18"/>
          <w:color w:val="auto"/>
        </w:rPr>
        <w:t>- We prohibit our employees, including our executive officers and directors, from hedging or pledging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securities.</w:t>
      </w:r>
    </w:p>
    <w:p>
      <w:pPr>
        <w:spacing w:after="0" w:line="24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auto"/>
        </w:rPr>
        <w:t xml:space="preserve">Defined Benefit Pension Plans </w:t>
      </w:r>
      <w:r>
        <w:rPr>
          <w:rFonts w:ascii="Arial" w:cs="Arial" w:eastAsia="Arial" w:hAnsi="Arial"/>
          <w:sz w:val="18"/>
          <w:szCs w:val="18"/>
          <w:color w:val="auto"/>
        </w:rPr>
        <w:t>- We do not currently offer, nor do we have plans to provide, defined benefit pension arrangements for our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3517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Perquisites </w:t>
      </w:r>
      <w:r>
        <w:rPr>
          <w:rFonts w:ascii="Arial" w:cs="Arial" w:eastAsia="Arial" w:hAnsi="Arial"/>
          <w:sz w:val="18"/>
          <w:szCs w:val="18"/>
          <w:color w:val="auto"/>
        </w:rPr>
        <w:t>- We provide minimal perquisites and other personal benefits to our executive officers.</w:t>
      </w:r>
    </w:p>
    <w:p>
      <w:pPr>
        <w:spacing w:after="0" w:line="30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 xml:space="preserve">Tax Reimbursements </w:t>
      </w:r>
      <w:r>
        <w:rPr>
          <w:rFonts w:ascii="Arial" w:cs="Arial" w:eastAsia="Arial" w:hAnsi="Arial"/>
          <w:sz w:val="18"/>
          <w:szCs w:val="18"/>
          <w:color w:val="auto"/>
        </w:rPr>
        <w:t>- We do not provide any tax reimbursement or “gross-up” payments on any severance or change in control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for any Section 280G excise taxes), perquisites or other personal benefits, other than immaterial COBRA reimbursements, standard relocation benefits, and tax equalization agreements related to expatriate assignments.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Sustainability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7029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377" w:lineRule="exact"/>
        <w:rPr>
          <w:sz w:val="20"/>
          <w:szCs w:val="20"/>
          <w:color w:val="auto"/>
        </w:rPr>
      </w:pPr>
    </w:p>
    <w:p>
      <w:pPr>
        <w:jc w:val="both"/>
        <w:ind w:left="700" w:right="680" w:firstLine="7"/>
        <w:spacing w:after="0" w:line="297" w:lineRule="auto"/>
        <w:rPr>
          <w:sz w:val="20"/>
          <w:szCs w:val="20"/>
          <w:color w:val="auto"/>
        </w:rPr>
      </w:pPr>
      <w:r>
        <w:rPr>
          <w:rFonts w:ascii="Arial" w:cs="Arial" w:eastAsia="Arial" w:hAnsi="Arial"/>
          <w:sz w:val="21"/>
          <w:szCs w:val="21"/>
          <w:b w:val="1"/>
          <w:bCs w:val="1"/>
          <w:color w:val="FFFFFF"/>
        </w:rPr>
        <w:t>Cohu is focused on making a positive contribution to society by creating products that improve productivity as well as enable healthier lifestyles, greater longevity and a more habitable planet.</w:t>
      </w:r>
    </w:p>
    <w:p>
      <w:pPr>
        <w:spacing w:after="0" w:line="200" w:lineRule="exact"/>
        <w:rPr>
          <w:sz w:val="20"/>
          <w:szCs w:val="20"/>
          <w:color w:val="auto"/>
        </w:rPr>
      </w:pPr>
    </w:p>
    <w:p>
      <w:pPr>
        <w:spacing w:after="0" w:line="332"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We strive to operate worldwide in a safe, responsible manner that respects the environment and protects the health and safety of our employees, our customers and the communities where we operate. We also endeavor to conduct our business operations in a manner that preserves the environment, which includes minimizing waste, conserving energy and preventing pollution. We believe an important aspect of our mission is to design products for a positive impact on society where our customers use our test and measurement products to reduce waste and to improve yield and the efficiency of the semiconductor process. Our actions go beyond regulatory compliance and ISO certifications, and some of our 2024 environmental, health and safety highlights include:</w:t>
      </w:r>
    </w:p>
    <w:p>
      <w:pPr>
        <w:spacing w:after="0" w:line="16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Overall energy usage decreased by 9% year-over-year</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global Greenhouse Gas Emissions by 32% in 2024 compared with 2023 calculations</w:t>
      </w:r>
    </w:p>
    <w:p>
      <w:pPr>
        <w:ind w:left="660" w:right="24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water usage decreased by 16% year-over-year, primarily driven by the completion of our new consolidated facility in Laguna, Philippines</w:t>
      </w:r>
    </w:p>
    <w:p>
      <w:pPr>
        <w:spacing w:after="0" w:line="1" w:lineRule="exact"/>
        <w:rPr>
          <w:rFonts w:ascii="Arial" w:cs="Arial" w:eastAsia="Arial" w:hAnsi="Arial"/>
          <w:sz w:val="18"/>
          <w:szCs w:val="18"/>
          <w:color w:val="auto"/>
        </w:rPr>
      </w:pPr>
    </w:p>
    <w:p>
      <w:pPr>
        <w:ind w:left="660" w:right="28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Replaced the air compressor equipment used in Poway, California, which decreased the site’s electricity use by 22% and lowered electrical costs by 31%</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Converted our Melaka, Malaysia, manufacturing facility to use renewable energy</w:t>
      </w:r>
    </w:p>
    <w:p>
      <w:pPr>
        <w:ind w:left="660" w:right="14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Through continued use of our assisted reality customer support system, used for remote technical support and training, we avoided 330,000 km in employee travel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to enhance our disclosures:</w:t>
      </w:r>
    </w:p>
    <w:p>
      <w:pPr>
        <w:spacing w:after="0" w:line="13" w:lineRule="exact"/>
        <w:rPr>
          <w:rFonts w:ascii="Arial" w:cs="Arial" w:eastAsia="Arial" w:hAnsi="Arial"/>
          <w:sz w:val="18"/>
          <w:szCs w:val="18"/>
          <w:color w:val="auto"/>
        </w:rPr>
      </w:pPr>
    </w:p>
    <w:p>
      <w:pPr>
        <w:ind w:left="980" w:right="580" w:hanging="324"/>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o Continued annual submittal to CDP </w:t>
      </w:r>
      <w:r>
        <w:rPr>
          <w:rFonts w:ascii="Arial" w:cs="Arial" w:eastAsia="Arial" w:hAnsi="Arial"/>
          <w:sz w:val="14"/>
          <w:szCs w:val="14"/>
          <w:color w:val="auto"/>
        </w:rPr>
        <w:t>(1)</w:t>
      </w:r>
      <w:r>
        <w:rPr>
          <w:rFonts w:ascii="Arial" w:cs="Arial" w:eastAsia="Arial" w:hAnsi="Arial"/>
          <w:sz w:val="18"/>
          <w:szCs w:val="18"/>
          <w:color w:val="auto"/>
        </w:rPr>
        <w:t>, a global disclosure system for environmental reporting, and improved our Climate Change score</w:t>
      </w:r>
    </w:p>
    <w:p>
      <w:pPr>
        <w:spacing w:after="0" w:line="1" w:lineRule="exact"/>
        <w:rPr>
          <w:rFonts w:ascii="Arial" w:cs="Arial" w:eastAsia="Arial" w:hAnsi="Arial"/>
          <w:sz w:val="18"/>
          <w:szCs w:val="18"/>
          <w:color w:val="auto"/>
        </w:rPr>
      </w:pPr>
    </w:p>
    <w:p>
      <w:pPr>
        <w:ind w:left="660"/>
        <w:spacing w:after="0" w:line="234" w:lineRule="auto"/>
        <w:rPr>
          <w:rFonts w:ascii="Arial" w:cs="Arial" w:eastAsia="Arial" w:hAnsi="Arial"/>
          <w:sz w:val="18"/>
          <w:szCs w:val="18"/>
          <w:color w:val="auto"/>
        </w:rPr>
      </w:pPr>
      <w:r>
        <w:rPr>
          <w:rFonts w:ascii="Arial" w:cs="Arial" w:eastAsia="Arial" w:hAnsi="Arial"/>
          <w:sz w:val="18"/>
          <w:szCs w:val="18"/>
          <w:color w:val="auto"/>
        </w:rPr>
        <w:t>o   Broadened site-specific and geographic water, energy, and emissions disclosures</w:t>
      </w:r>
    </w:p>
    <w:p>
      <w:pPr>
        <w:ind w:left="980" w:right="300" w:hanging="324"/>
        <w:spacing w:after="0" w:line="234" w:lineRule="auto"/>
        <w:rPr>
          <w:rFonts w:ascii="Arial" w:cs="Arial" w:eastAsia="Arial" w:hAnsi="Arial"/>
          <w:sz w:val="18"/>
          <w:szCs w:val="18"/>
          <w:color w:val="auto"/>
        </w:rPr>
      </w:pPr>
      <w:r>
        <w:rPr>
          <w:rFonts w:ascii="Arial" w:cs="Arial" w:eastAsia="Arial" w:hAnsi="Arial"/>
          <w:sz w:val="18"/>
          <w:szCs w:val="18"/>
          <w:color w:val="auto"/>
        </w:rPr>
        <w:t>o In February 2024, committed to engage with the Science Based Targets initiative (SBTi) and are making progress toward the goal of developing near-term science-based emissions reduction targets</w:t>
      </w:r>
    </w:p>
    <w:p>
      <w:pPr>
        <w:spacing w:after="0" w:line="1" w:lineRule="exact"/>
        <w:rPr>
          <w:rFonts w:ascii="Arial" w:cs="Arial" w:eastAsia="Arial" w:hAnsi="Arial"/>
          <w:sz w:val="18"/>
          <w:szCs w:val="18"/>
          <w:color w:val="auto"/>
        </w:rPr>
      </w:pPr>
    </w:p>
    <w:p>
      <w:pPr>
        <w:ind w:left="660" w:right="100" w:hanging="328"/>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Provided more than 41,500 cumulative training hours to employees globally, investing approximately $421,000 in training, seminars and educational assistance fees.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Joined the Sustainable Business &amp; Enterprise Roundtable </w:t>
      </w:r>
      <w:r>
        <w:rPr>
          <w:rFonts w:ascii="Arial" w:cs="Arial" w:eastAsia="Arial" w:hAnsi="Arial"/>
          <w:sz w:val="14"/>
          <w:szCs w:val="14"/>
          <w:color w:val="auto"/>
        </w:rPr>
        <w:t>(2)</w:t>
      </w:r>
      <w:r>
        <w:rPr>
          <w:rFonts w:ascii="Arial" w:cs="Arial" w:eastAsia="Arial" w:hAnsi="Arial"/>
          <w:sz w:val="18"/>
          <w:szCs w:val="18"/>
          <w:color w:val="auto"/>
        </w:rPr>
        <w:t xml:space="preserve"> (SBER) with the goal of reviewing strategies to reduce GHG emissions at principal operating sites and investigating renewable electricity energy sources.</w:t>
      </w:r>
    </w:p>
    <w:p>
      <w:pPr>
        <w:spacing w:after="0" w:line="1" w:lineRule="exact"/>
        <w:rPr>
          <w:rFonts w:ascii="Arial" w:cs="Arial" w:eastAsia="Arial" w:hAnsi="Arial"/>
          <w:sz w:val="18"/>
          <w:szCs w:val="18"/>
          <w:color w:val="auto"/>
        </w:rPr>
      </w:pPr>
    </w:p>
    <w:p>
      <w:pPr>
        <w:ind w:left="660" w:right="20" w:hanging="328"/>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support of our goal to foster employee engagement, conducted focused quality culture assessment at our Melaka, Malaysia site, introduced Learning Communities to support individual professional development and continued programs focused on career growth within Cohu.</w:t>
      </w:r>
    </w:p>
    <w:p>
      <w:pPr>
        <w:spacing w:after="0" w:line="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Continued our excellent employee safety record, with a 2024 global recordable incident rate of 0.5 per 100 employees, which is 38% lower than our industry benchmark </w:t>
      </w:r>
      <w:r>
        <w:rPr>
          <w:rFonts w:ascii="Arial" w:cs="Arial" w:eastAsia="Arial" w:hAnsi="Arial"/>
          <w:sz w:val="14"/>
          <w:szCs w:val="14"/>
          <w:color w:val="auto"/>
        </w:rPr>
        <w:t>(3)</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Listed in “America’s Most Responsible Companies 2024” by Newsweek.</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Energy and Waste Management</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126365</wp:posOffset>
            </wp:positionV>
            <wp:extent cx="428625" cy="437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8625" cy="4375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177800</wp:posOffset>
            </wp:positionV>
            <wp:extent cx="497205" cy="3257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7205" cy="32575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1320"/>
        <w:spacing w:after="0"/>
        <w:rPr>
          <w:sz w:val="20"/>
          <w:szCs w:val="20"/>
          <w:color w:val="auto"/>
        </w:rPr>
      </w:pPr>
      <w:r>
        <w:rPr>
          <w:rFonts w:ascii="Arial" w:cs="Arial" w:eastAsia="Arial" w:hAnsi="Arial"/>
          <w:sz w:val="16"/>
          <w:szCs w:val="16"/>
          <w:b w:val="1"/>
          <w:bCs w:val="1"/>
          <w:color w:val="auto"/>
        </w:rPr>
        <w:t>Use of Renewable Energy</w:t>
      </w:r>
    </w:p>
    <w:p>
      <w:pPr>
        <w:spacing w:after="0" w:line="18" w:lineRule="exact"/>
        <w:rPr>
          <w:sz w:val="20"/>
          <w:szCs w:val="20"/>
          <w:color w:val="auto"/>
        </w:rPr>
      </w:pPr>
    </w:p>
    <w:p>
      <w:pPr>
        <w:jc w:val="center"/>
        <w:ind w:left="1320"/>
        <w:spacing w:after="0"/>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3"/>
          <w:szCs w:val="13"/>
          <w:b w:val="1"/>
          <w:bCs w:val="1"/>
          <w:color w:val="auto"/>
        </w:rPr>
        <w:t>(4)</w:t>
      </w:r>
      <w:r>
        <w:rPr>
          <w:rFonts w:ascii="Arial" w:cs="Arial" w:eastAsia="Arial" w:hAnsi="Arial"/>
          <w:sz w:val="16"/>
          <w:szCs w:val="16"/>
          <w:b w:val="1"/>
          <w:bCs w:val="1"/>
          <w:color w:val="auto"/>
        </w:rPr>
        <w:t xml:space="preserve"> of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149225</wp:posOffset>
            </wp:positionV>
            <wp:extent cx="436880" cy="3860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6880" cy="38608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140970</wp:posOffset>
            </wp:positionV>
            <wp:extent cx="428625" cy="394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8625" cy="394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Scope 1/2 Emissions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6,979 Metric Tons CO2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130810</wp:posOffset>
            </wp:positionV>
            <wp:extent cx="419735" cy="420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19735" cy="420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440"/>
          </w:cols>
          <w:pgMar w:left="320" w:top="122"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060" w:type="dxa"/>
        <w:tblCellMar>
          <w:top w:w="0" w:type="dxa"/>
          <w:left w:w="0" w:type="dxa"/>
          <w:bottom w:w="0" w:type="dxa"/>
          <w:right w:w="0" w:type="dxa"/>
        </w:tblCellMar>
      </w:tblPr>
      <w:tr>
        <w:trPr>
          <w:trHeight w:val="189"/>
        </w:trPr>
        <w:tc>
          <w:tcPr>
            <w:tcW w:w="2240" w:type="dxa"/>
            <w:vAlign w:val="bottom"/>
            <w:vMerge w:val="restart"/>
          </w:tcPr>
          <w:p>
            <w:pPr>
              <w:jc w:val="center"/>
              <w:ind w:right="519"/>
              <w:spacing w:after="0"/>
              <w:rPr>
                <w:sz w:val="20"/>
                <w:szCs w:val="20"/>
                <w:color w:val="auto"/>
              </w:rPr>
            </w:pPr>
            <w:r>
              <w:rPr>
                <w:rFonts w:ascii="Arial" w:cs="Arial" w:eastAsia="Arial" w:hAnsi="Arial"/>
                <w:sz w:val="16"/>
                <w:szCs w:val="16"/>
                <w:b w:val="1"/>
                <w:bCs w:val="1"/>
                <w:color w:val="auto"/>
                <w:w w:val="99"/>
              </w:rPr>
              <w:t>Total Waste Recycled</w:t>
            </w:r>
          </w:p>
        </w:tc>
        <w:tc>
          <w:tcPr>
            <w:tcW w:w="4720" w:type="dxa"/>
            <w:vAlign w:val="bottom"/>
          </w:tcPr>
          <w:p>
            <w:pPr>
              <w:jc w:val="center"/>
              <w:ind w:right="19"/>
              <w:spacing w:after="0"/>
              <w:rPr>
                <w:sz w:val="20"/>
                <w:szCs w:val="20"/>
                <w:color w:val="auto"/>
              </w:rPr>
            </w:pPr>
            <w:r>
              <w:rPr>
                <w:rFonts w:ascii="Arial" w:cs="Arial" w:eastAsia="Arial" w:hAnsi="Arial"/>
                <w:sz w:val="16"/>
                <w:szCs w:val="16"/>
                <w:b w:val="1"/>
                <w:bCs w:val="1"/>
                <w:color w:val="auto"/>
              </w:rPr>
              <w:t>Hazardous Waste</w:t>
            </w:r>
          </w:p>
        </w:tc>
        <w:tc>
          <w:tcPr>
            <w:tcW w:w="2020" w:type="dxa"/>
            <w:vAlign w:val="bottom"/>
            <w:vMerge w:val="restart"/>
          </w:tcPr>
          <w:p>
            <w:pPr>
              <w:jc w:val="center"/>
              <w:ind w:left="599"/>
              <w:spacing w:after="0"/>
              <w:rPr>
                <w:sz w:val="20"/>
                <w:szCs w:val="20"/>
                <w:color w:val="auto"/>
              </w:rPr>
            </w:pPr>
            <w:r>
              <w:rPr>
                <w:rFonts w:ascii="Arial" w:cs="Arial" w:eastAsia="Arial" w:hAnsi="Arial"/>
                <w:sz w:val="16"/>
                <w:szCs w:val="16"/>
                <w:b w:val="1"/>
                <w:bCs w:val="1"/>
                <w:color w:val="auto"/>
              </w:rPr>
              <w:t>Hazardous Waste</w:t>
            </w:r>
          </w:p>
        </w:tc>
        <w:tc>
          <w:tcPr>
            <w:tcW w:w="0" w:type="dxa"/>
            <w:vAlign w:val="bottom"/>
          </w:tcPr>
          <w:p>
            <w:pPr>
              <w:spacing w:after="0"/>
              <w:rPr>
                <w:sz w:val="1"/>
                <w:szCs w:val="1"/>
                <w:color w:val="auto"/>
              </w:rPr>
            </w:pPr>
          </w:p>
        </w:tc>
      </w:tr>
      <w:tr>
        <w:trPr>
          <w:trHeight w:val="95"/>
        </w:trPr>
        <w:tc>
          <w:tcPr>
            <w:tcW w:w="2240" w:type="dxa"/>
            <w:vAlign w:val="bottom"/>
            <w:vMerge w:val="continue"/>
          </w:tcPr>
          <w:p>
            <w:pPr>
              <w:spacing w:after="0"/>
              <w:rPr>
                <w:sz w:val="8"/>
                <w:szCs w:val="8"/>
                <w:color w:val="auto"/>
              </w:rPr>
            </w:pPr>
          </w:p>
        </w:tc>
        <w:tc>
          <w:tcPr>
            <w:tcW w:w="472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rPr>
              <w:t>All Disposed of in Accordance With</w:t>
            </w: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240" w:type="dxa"/>
            <w:vAlign w:val="bottom"/>
            <w:vMerge w:val="restart"/>
          </w:tcPr>
          <w:p>
            <w:pPr>
              <w:jc w:val="center"/>
              <w:ind w:right="519"/>
              <w:spacing w:after="0"/>
              <w:rPr>
                <w:sz w:val="20"/>
                <w:szCs w:val="20"/>
                <w:color w:val="auto"/>
              </w:rPr>
            </w:pPr>
            <w:r>
              <w:rPr>
                <w:rFonts w:ascii="Arial" w:cs="Arial" w:eastAsia="Arial" w:hAnsi="Arial"/>
                <w:sz w:val="16"/>
                <w:szCs w:val="16"/>
                <w:b w:val="1"/>
                <w:bCs w:val="1"/>
                <w:color w:val="auto"/>
              </w:rPr>
              <w:t>853,000 Kg</w:t>
            </w:r>
          </w:p>
        </w:tc>
        <w:tc>
          <w:tcPr>
            <w:tcW w:w="4720" w:type="dxa"/>
            <w:vAlign w:val="bottom"/>
            <w:vMerge w:val="continue"/>
          </w:tcPr>
          <w:p>
            <w:pPr>
              <w:spacing w:after="0"/>
              <w:rPr>
                <w:sz w:val="8"/>
                <w:szCs w:val="8"/>
                <w:color w:val="auto"/>
              </w:rPr>
            </w:pPr>
          </w:p>
        </w:tc>
        <w:tc>
          <w:tcPr>
            <w:tcW w:w="2020" w:type="dxa"/>
            <w:vAlign w:val="bottom"/>
            <w:vMerge w:val="restart"/>
          </w:tcPr>
          <w:p>
            <w:pPr>
              <w:jc w:val="center"/>
              <w:ind w:left="599"/>
              <w:spacing w:after="0"/>
              <w:rPr>
                <w:sz w:val="20"/>
                <w:szCs w:val="20"/>
                <w:color w:val="auto"/>
              </w:rPr>
            </w:pPr>
            <w:r>
              <w:rPr>
                <w:rFonts w:ascii="Arial" w:cs="Arial" w:eastAsia="Arial" w:hAnsi="Arial"/>
                <w:sz w:val="16"/>
                <w:szCs w:val="16"/>
                <w:b w:val="1"/>
                <w:bCs w:val="1"/>
                <w:color w:val="auto"/>
              </w:rPr>
              <w:t>No Spills</w:t>
            </w:r>
          </w:p>
        </w:tc>
        <w:tc>
          <w:tcPr>
            <w:tcW w:w="0" w:type="dxa"/>
            <w:vAlign w:val="bottom"/>
          </w:tcPr>
          <w:p>
            <w:pPr>
              <w:spacing w:after="0"/>
              <w:rPr>
                <w:sz w:val="1"/>
                <w:szCs w:val="1"/>
                <w:color w:val="auto"/>
              </w:rPr>
            </w:pPr>
          </w:p>
        </w:tc>
      </w:tr>
      <w:tr>
        <w:trPr>
          <w:trHeight w:val="128"/>
        </w:trPr>
        <w:tc>
          <w:tcPr>
            <w:tcW w:w="2240" w:type="dxa"/>
            <w:vAlign w:val="bottom"/>
            <w:vMerge w:val="continue"/>
          </w:tcPr>
          <w:p>
            <w:pPr>
              <w:spacing w:after="0"/>
              <w:rPr>
                <w:sz w:val="11"/>
                <w:szCs w:val="11"/>
                <w:color w:val="auto"/>
              </w:rPr>
            </w:pPr>
          </w:p>
        </w:tc>
        <w:tc>
          <w:tcPr>
            <w:tcW w:w="47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xml:space="preserve">Local Laws and Regulations </w:t>
            </w:r>
            <w:r>
              <w:rPr>
                <w:rFonts w:ascii="Arial" w:cs="Arial" w:eastAsia="Arial" w:hAnsi="Arial"/>
                <w:sz w:val="16"/>
                <w:szCs w:val="16"/>
                <w:color w:val="auto"/>
              </w:rPr>
              <w:t>–</w:t>
            </w:r>
            <w:r>
              <w:rPr>
                <w:rFonts w:ascii="Arial" w:cs="Arial" w:eastAsia="Arial" w:hAnsi="Arial"/>
                <w:sz w:val="16"/>
                <w:szCs w:val="16"/>
                <w:b w:val="1"/>
                <w:bCs w:val="1"/>
                <w:color w:val="auto"/>
              </w:rPr>
              <w:t xml:space="preserve"> 83% Recycled</w:t>
            </w: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240" w:type="dxa"/>
            <w:vAlign w:val="bottom"/>
          </w:tcPr>
          <w:p>
            <w:pPr>
              <w:spacing w:after="0"/>
              <w:rPr>
                <w:sz w:val="8"/>
                <w:szCs w:val="8"/>
                <w:color w:val="auto"/>
              </w:rPr>
            </w:pPr>
          </w:p>
        </w:tc>
        <w:tc>
          <w:tcPr>
            <w:tcW w:w="4720" w:type="dxa"/>
            <w:vAlign w:val="bottom"/>
            <w:vMerge w:val="continue"/>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CDP, formerly the Carbon Disclosure Project, is a third-party global disclosure system for environmental reporting</w:t>
      </w:r>
    </w:p>
    <w:p>
      <w:pPr>
        <w:spacing w:after="0" w:line="82" w:lineRule="exact"/>
        <w:rPr>
          <w:rFonts w:ascii="Arial" w:cs="Arial" w:eastAsia="Arial" w:hAnsi="Arial"/>
          <w:sz w:val="14"/>
          <w:szCs w:val="14"/>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Responsible Business Alliance, the industry coalition dedicated to responsible business conduct in global supply chains.</w:t>
      </w:r>
    </w:p>
    <w:p>
      <w:pPr>
        <w:spacing w:after="0" w:line="82" w:lineRule="exact"/>
        <w:rPr>
          <w:rFonts w:ascii="Arial" w:cs="Arial" w:eastAsia="Arial" w:hAnsi="Arial"/>
          <w:sz w:val="14"/>
          <w:szCs w:val="14"/>
          <w:color w:val="auto"/>
        </w:rPr>
      </w:pPr>
    </w:p>
    <w:p>
      <w:pPr>
        <w:ind w:left="660" w:right="180" w:hanging="328"/>
        <w:spacing w:after="0" w:line="251"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Latest published Industry benchmark of 0.8 (recordable incidents per 100 employees, per year) is based on 2024 U.S. Bureau of Labor Statistics Injury, Illness and Fatality statistics for our industry (NAICS Code 334515).</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percentage of grid electricity derived from renewable sources.</w:t>
      </w: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49"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Sustainability Strategies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Business and Governance</w:t>
      </w:r>
    </w:p>
    <w:p>
      <w:pPr>
        <w:spacing w:after="0" w:line="198"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Corporate responsibility is an integral part of our business strategy and operating philosophy. A firm commitment to ethical behavior is embedded in our business processes and practices. During 2024, we had:</w:t>
      </w:r>
    </w:p>
    <w:p>
      <w:pPr>
        <w:spacing w:after="0" w:line="14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bribery/corruption claims, including no legal proceedings or monetary losses related to bribery/corruption claims</w:t>
      </w:r>
    </w:p>
    <w:p>
      <w:pPr>
        <w:spacing w:after="0" w:line="13" w:lineRule="exact"/>
        <w:rPr>
          <w:rFonts w:ascii="Arial" w:cs="Arial" w:eastAsia="Arial" w:hAnsi="Arial"/>
          <w:sz w:val="18"/>
          <w:szCs w:val="18"/>
          <w:color w:val="auto"/>
        </w:rPr>
      </w:pPr>
    </w:p>
    <w:p>
      <w:pPr>
        <w:ind w:left="340" w:hanging="332"/>
        <w:spacing w:after="0" w:line="23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anti-competitive behavior claims, including no legal proceedings or monetary losses related to anti-competitive behavior claims</w:t>
      </w:r>
    </w:p>
    <w:p>
      <w:pPr>
        <w:ind w:left="340" w:right="360" w:hanging="332"/>
        <w:spacing w:after="0" w:line="23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legal and regulatory fines, settlements, or enforcement actions associated with false, deceptive, or unfair marketing, labeling and advertising</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direct monetary contribution to political campaigns or lobbying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Responsible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7886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Cohu operates a responsible minerals sourcing program, developed to ensure our conformance to the SEC Conflict Minerals rule. A de minimis portion of Cohu’s manufacturing processes utilize critical materials such as Cobalt, Palladium and Rhodium. In such cases, usage is monitored, and buffer stock is maintained. Cohu also utilizes multiple suppliers and maintains second sources where possible.</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2024 Energy and Waste Management</w:t>
      </w:r>
    </w:p>
    <w:p>
      <w:pPr>
        <w:spacing w:after="0" w:line="19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26% of grid electrical energy usage was derived from renewable energy sources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Scope 1/2 Emissions were 6,979 Metric Tons CO2-e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waste recycled was 853,000 Kg</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hazardous waste disposed of in accordance with local laws and regulations – 83% recycled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hazardous waste spills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Converted our Melaka, Malaysia, manufacturing facility to use renewable energy</w:t>
      </w:r>
    </w:p>
    <w:p>
      <w:pPr>
        <w:spacing w:after="0" w:line="36" w:lineRule="exact"/>
        <w:rPr>
          <w:rFonts w:ascii="Arial" w:cs="Arial" w:eastAsia="Arial" w:hAnsi="Arial"/>
          <w:sz w:val="18"/>
          <w:szCs w:val="18"/>
          <w:color w:val="auto"/>
        </w:rPr>
      </w:pPr>
    </w:p>
    <w:p>
      <w:pPr>
        <w:ind w:left="660" w:right="200" w:hanging="328"/>
        <w:spacing w:after="0" w:line="24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water usage decreased by 16% year-over-year, primarily driven by the completion of our new consolidated facility in Laguna, Philippines</w:t>
      </w:r>
    </w:p>
    <w:p>
      <w:pPr>
        <w:ind w:left="660" w:right="240" w:hanging="328"/>
        <w:spacing w:after="0" w:line="23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Replaced the air compressor equipment used in Poway, California, which decreased the site’s electricity use by 22% and lowered electrical costs by 31%</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continued use of our assisted reality customer support system, used for remote technical support and training, we avoided 330,000 km in employee travel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Protecting and Improving our Planet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7886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17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partner with our employees to encourage consideration of the health of our Earth. We promote recycling, the use of reusable water bottles, and a bike-to-work program. We have installed energy saving technology for lighting and heating, source green electricity and self-produce energy by photovoltaic systems at certain locations. We are ISO 14001-certified at our facility in Kolbermoor, Germany.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Energy Renewable and Energy Efficient Products</w:t>
      </w:r>
    </w:p>
    <w:p>
      <w:pPr>
        <w:spacing w:after="0" w:line="198"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Nine of our key customers provide semiconductor solutions to manage and reduce power consumption and enable solar and wind power generation. We are enabling these important technologies including power management devices, controllers, inverters, sensors, motor drivers and gate drivers.</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More directly, in late 2023, Cohu released its DI-Core AI Inspection software, which provides real-time computation that enables semiconductor manufacturers to improve visual inspection accuracy at production speeds. The product utilizes proprietary deep learning and neural network technologies to improve inspection yield without compromising quality. We believe that the product offers significant sustainability benefits in terms of scrap material avoided. For example, in a typical back-end semiconductor manufacturing facility, annual scrap avoided could be in excess of tens of millions of semiconductor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Giving Back to our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7886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178" w:lineRule="exact"/>
        <w:rPr>
          <w:sz w:val="20"/>
          <w:szCs w:val="20"/>
          <w:color w:val="auto"/>
        </w:rPr>
      </w:pPr>
    </w:p>
    <w:p>
      <w:pPr>
        <w:jc w:val="both"/>
        <w:ind w:right="560"/>
        <w:spacing w:after="0" w:line="253" w:lineRule="auto"/>
        <w:rPr>
          <w:sz w:val="20"/>
          <w:szCs w:val="20"/>
          <w:color w:val="auto"/>
        </w:rPr>
      </w:pPr>
      <w:r>
        <w:rPr>
          <w:rFonts w:ascii="Arial" w:cs="Arial" w:eastAsia="Arial" w:hAnsi="Arial"/>
          <w:sz w:val="18"/>
          <w:szCs w:val="18"/>
          <w:color w:val="auto"/>
        </w:rPr>
        <w:t>Cohu’s employees, all over the world, take great pride in the volunteer work they do with local charities, schools, and other non-profit organizations. We support and partner with our employees participating in philanthropy including charitable activities, educational and financial support, and blood donation drives.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Enabling Life-Saving Products</w:t>
      </w:r>
    </w:p>
    <w:p>
      <w:pPr>
        <w:spacing w:after="0" w:line="19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Cohu is proud to support the manufacture and testing of our customers’ semiconductor components and technologies used across many industries, including healthcare. Our test handlers, test interface solutions and semiconductor tester systems are utilized by our customers in the manufacturing of semiconductors used in life-saving medical devices and applications: patient monitors, ventilators, IR thermometers, digital x-rays, rapid sepsis testing, biometers to measure contact-less temperature.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511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36"/>
          <w:szCs w:val="36"/>
          <w:b w:val="1"/>
          <w:bCs w:val="1"/>
          <w:color w:val="FFFFFF"/>
        </w:rPr>
        <w:t>Stock Ownership</w: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Security Ownership of Certain Beneficial Owners and Management</w:t>
      </w:r>
    </w:p>
    <w:p>
      <w:pPr>
        <w:spacing w:after="0" w:line="20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following table sets forth certain information regarding beneficial ownership of Cohu’s common stock as of March 21, 2025, by (i) each stockholder who has reported or is known by Cohu to have beneficial ownership of more than 5% of our common stock; (ii) each director of Cohu; (iii) each NEO included in the “2024 Summary Compensation Table”; and (iv) all directors and executive officers as a group. Unless otherwise noted below, the address of each person listed on the table is c/o Cohu, Inc., 12367 Crosthwaite Circle, Poway, California 92064-6817. Beneficial ownership is determined in accordance with the rules of the SEC and includes voting or investment power with respect to the securities. We deem shares of common stock that may be acquired by an individual or group within 60 days of March 21, 2025, pursuant to the exercise of options or the vesting of restricted stock units, performance stock units and deferred stock units to be outstanding for the purpose of computing the percentage ownership of such individual or group, but those shares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46,540,036 shares of common stock outstanding on March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3343910</wp:posOffset>
            </wp:positionH>
            <wp:positionV relativeFrom="paragraph">
              <wp:posOffset>106680</wp:posOffset>
            </wp:positionV>
            <wp:extent cx="33655" cy="4286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86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106680</wp:posOffset>
            </wp:positionV>
            <wp:extent cx="34290" cy="4286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8625"/>
                    </a:xfrm>
                    <a:prstGeom prst="rect">
                      <a:avLst/>
                    </a:prstGeom>
                    <a:noFill/>
                  </pic:spPr>
                </pic:pic>
              </a:graphicData>
            </a:graphic>
          </wp:anchor>
        </w:drawing>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300" w:type="dxa"/>
            <w:vAlign w:val="bottom"/>
            <w:tcBorders>
              <w:left w:val="single" w:sz="8" w:color="2D53A6"/>
              <w:right w:val="single" w:sz="8" w:color="2D53A6"/>
            </w:tcBorders>
            <w:shd w:val="clear" w:color="auto" w:fill="2D53A6"/>
          </w:tcPr>
          <w:p>
            <w:pPr>
              <w:spacing w:after="0"/>
              <w:rPr>
                <w:sz w:val="17"/>
                <w:szCs w:val="17"/>
                <w:color w:val="auto"/>
              </w:rPr>
            </w:pPr>
          </w:p>
        </w:tc>
        <w:tc>
          <w:tcPr>
            <w:tcW w:w="16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Beneficially</w:t>
            </w:r>
          </w:p>
        </w:tc>
        <w:tc>
          <w:tcPr>
            <w:tcW w:w="15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Common</w:t>
            </w:r>
          </w:p>
        </w:tc>
        <w:tc>
          <w:tcPr>
            <w:tcW w:w="1320" w:type="dxa"/>
            <w:vAlign w:val="bottom"/>
            <w:tcBorders>
              <w:right w:val="single" w:sz="8" w:color="2D53A6"/>
            </w:tcBorders>
            <w:shd w:val="clear" w:color="auto" w:fill="2D53A6"/>
          </w:tcPr>
          <w:p>
            <w:pPr>
              <w:spacing w:after="0"/>
              <w:rPr>
                <w:sz w:val="17"/>
                <w:szCs w:val="17"/>
                <w:color w:val="auto"/>
              </w:rPr>
            </w:pPr>
          </w:p>
        </w:tc>
        <w:tc>
          <w:tcPr>
            <w:tcW w:w="1420" w:type="dxa"/>
            <w:vAlign w:val="bottom"/>
            <w:tcBorders>
              <w:right w:val="single" w:sz="8" w:color="2D53A6"/>
            </w:tcBorders>
            <w:vMerge w:val="restart"/>
            <w:shd w:val="clear" w:color="auto" w:fill="2D53A6"/>
          </w:tcPr>
          <w:p>
            <w:pPr>
              <w:jc w:val="right"/>
              <w:ind w:right="230"/>
              <w:spacing w:after="0"/>
              <w:rPr>
                <w:sz w:val="20"/>
                <w:szCs w:val="20"/>
                <w:color w:val="auto"/>
              </w:rPr>
            </w:pPr>
            <w:r>
              <w:rPr>
                <w:rFonts w:ascii="Arial" w:cs="Arial" w:eastAsia="Arial" w:hAnsi="Arial"/>
                <w:sz w:val="18"/>
                <w:szCs w:val="18"/>
                <w:b w:val="1"/>
                <w:bCs w:val="1"/>
                <w:color w:val="FFFFFF"/>
              </w:rPr>
              <w:t>Percent of</w:t>
            </w:r>
          </w:p>
        </w:tc>
        <w:tc>
          <w:tcPr>
            <w:tcW w:w="0" w:type="dxa"/>
            <w:vAlign w:val="bottom"/>
          </w:tcPr>
          <w:p>
            <w:pPr>
              <w:spacing w:after="0"/>
              <w:rPr>
                <w:sz w:val="1"/>
                <w:szCs w:val="1"/>
                <w:color w:val="auto"/>
              </w:rPr>
            </w:pPr>
          </w:p>
        </w:tc>
      </w:tr>
      <w:tr>
        <w:trPr>
          <w:trHeight w:val="95"/>
        </w:trPr>
        <w:tc>
          <w:tcPr>
            <w:tcW w:w="5300" w:type="dxa"/>
            <w:vAlign w:val="bottom"/>
            <w:tcBorders>
              <w:left w:val="single" w:sz="8" w:color="2D53A6"/>
              <w:right w:val="single" w:sz="8" w:color="2D53A6"/>
            </w:tcBorders>
            <w:vMerge w:val="restart"/>
            <w:shd w:val="clear" w:color="auto" w:fill="2D53A6"/>
          </w:tcPr>
          <w:p>
            <w:pPr>
              <w:ind w:left="20"/>
              <w:spacing w:after="0" w:line="202" w:lineRule="exact"/>
              <w:rPr>
                <w:sz w:val="20"/>
                <w:szCs w:val="20"/>
                <w:color w:val="auto"/>
              </w:rPr>
            </w:pPr>
            <w:r>
              <w:rPr>
                <w:rFonts w:ascii="Arial" w:cs="Arial" w:eastAsia="Arial" w:hAnsi="Arial"/>
                <w:sz w:val="18"/>
                <w:szCs w:val="18"/>
                <w:b w:val="1"/>
                <w:bCs w:val="1"/>
                <w:color w:val="FFFFFF"/>
              </w:rPr>
              <w:t>Name and address of beneficial owner</w:t>
            </w:r>
          </w:p>
        </w:tc>
        <w:tc>
          <w:tcPr>
            <w:tcW w:w="1620" w:type="dxa"/>
            <w:vAlign w:val="bottom"/>
            <w:tcBorders>
              <w:right w:val="single" w:sz="8" w:color="2D53A6"/>
            </w:tcBorders>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8"/>
              </w:rPr>
              <w:t>owned</w:t>
            </w:r>
          </w:p>
        </w:tc>
        <w:tc>
          <w:tcPr>
            <w:tcW w:w="1580" w:type="dxa"/>
            <w:vAlign w:val="bottom"/>
            <w:tcBorders>
              <w:right w:val="single" w:sz="8" w:color="2D53A6"/>
            </w:tcBorders>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rPr>
              <w:t>stock</w:t>
            </w:r>
          </w:p>
        </w:tc>
        <w:tc>
          <w:tcPr>
            <w:tcW w:w="1320" w:type="dxa"/>
            <w:vAlign w:val="bottom"/>
            <w:tcBorders>
              <w:right w:val="single" w:sz="8" w:color="2D53A6"/>
            </w:tcBorders>
            <w:vMerge w:val="restart"/>
            <w:shd w:val="clear" w:color="auto" w:fill="2D53A6"/>
          </w:tcPr>
          <w:p>
            <w:pPr>
              <w:jc w:val="right"/>
              <w:ind w:right="370"/>
              <w:spacing w:after="0" w:line="202" w:lineRule="exact"/>
              <w:rPr>
                <w:sz w:val="20"/>
                <w:szCs w:val="20"/>
                <w:color w:val="auto"/>
              </w:rPr>
            </w:pPr>
            <w:r>
              <w:rPr>
                <w:rFonts w:ascii="Arial" w:cs="Arial" w:eastAsia="Arial" w:hAnsi="Arial"/>
                <w:sz w:val="18"/>
                <w:szCs w:val="18"/>
                <w:b w:val="1"/>
                <w:bCs w:val="1"/>
                <w:color w:val="FFFFFF"/>
              </w:rPr>
              <w:t>Total</w:t>
            </w:r>
          </w:p>
        </w:tc>
        <w:tc>
          <w:tcPr>
            <w:tcW w:w="1420" w:type="dxa"/>
            <w:vAlign w:val="bottom"/>
            <w:tcBorders>
              <w:right w:val="single" w:sz="8" w:color="2D53A6"/>
            </w:tcBorders>
            <w:vMerge w:val="continue"/>
            <w:shd w:val="clear" w:color="auto" w:fill="2D53A6"/>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300" w:type="dxa"/>
            <w:vAlign w:val="bottom"/>
            <w:tcBorders>
              <w:left w:val="single" w:sz="8" w:color="2D53A6"/>
              <w:right w:val="single" w:sz="8" w:color="2D53A6"/>
            </w:tcBorders>
            <w:vMerge w:val="continue"/>
            <w:shd w:val="clear" w:color="auto" w:fill="2D53A6"/>
          </w:tcPr>
          <w:p>
            <w:pPr>
              <w:spacing w:after="0"/>
              <w:rPr>
                <w:sz w:val="9"/>
                <w:szCs w:val="9"/>
                <w:color w:val="auto"/>
              </w:rPr>
            </w:pPr>
          </w:p>
        </w:tc>
        <w:tc>
          <w:tcPr>
            <w:tcW w:w="1620" w:type="dxa"/>
            <w:vAlign w:val="bottom"/>
            <w:tcBorders>
              <w:right w:val="single" w:sz="8" w:color="2D53A6"/>
            </w:tcBorders>
            <w:vMerge w:val="continue"/>
            <w:shd w:val="clear" w:color="auto" w:fill="2D53A6"/>
          </w:tcPr>
          <w:p>
            <w:pPr>
              <w:spacing w:after="0"/>
              <w:rPr>
                <w:sz w:val="9"/>
                <w:szCs w:val="9"/>
                <w:color w:val="auto"/>
              </w:rPr>
            </w:pPr>
          </w:p>
        </w:tc>
        <w:tc>
          <w:tcPr>
            <w:tcW w:w="1580" w:type="dxa"/>
            <w:vAlign w:val="bottom"/>
            <w:tcBorders>
              <w:right w:val="single" w:sz="8" w:color="2D53A6"/>
            </w:tcBorders>
            <w:vMerge w:val="continue"/>
            <w:shd w:val="clear" w:color="auto" w:fill="2D53A6"/>
          </w:tcPr>
          <w:p>
            <w:pPr>
              <w:spacing w:after="0"/>
              <w:rPr>
                <w:sz w:val="9"/>
                <w:szCs w:val="9"/>
                <w:color w:val="auto"/>
              </w:rPr>
            </w:pPr>
          </w:p>
        </w:tc>
        <w:tc>
          <w:tcPr>
            <w:tcW w:w="1320" w:type="dxa"/>
            <w:vAlign w:val="bottom"/>
            <w:tcBorders>
              <w:right w:val="single" w:sz="8" w:color="2D53A6"/>
            </w:tcBorders>
            <w:vMerge w:val="continue"/>
            <w:shd w:val="clear" w:color="auto" w:fill="2D53A6"/>
          </w:tcPr>
          <w:p>
            <w:pPr>
              <w:spacing w:after="0"/>
              <w:rPr>
                <w:sz w:val="9"/>
                <w:szCs w:val="9"/>
                <w:color w:val="auto"/>
              </w:rPr>
            </w:pPr>
          </w:p>
        </w:tc>
        <w:tc>
          <w:tcPr>
            <w:tcW w:w="1420" w:type="dxa"/>
            <w:vAlign w:val="bottom"/>
            <w:tcBorders>
              <w:right w:val="single" w:sz="8" w:color="2D53A6"/>
            </w:tcBorders>
            <w:vMerge w:val="restart"/>
            <w:shd w:val="clear" w:color="auto" w:fill="2D53A6"/>
          </w:tcPr>
          <w:p>
            <w:pPr>
              <w:jc w:val="right"/>
              <w:ind w:right="330"/>
              <w:spacing w:after="0"/>
              <w:rPr>
                <w:sz w:val="20"/>
                <w:szCs w:val="20"/>
                <w:color w:val="auto"/>
              </w:rPr>
            </w:pPr>
            <w:r>
              <w:rPr>
                <w:rFonts w:ascii="Arial" w:cs="Arial" w:eastAsia="Arial" w:hAnsi="Arial"/>
                <w:sz w:val="18"/>
                <w:szCs w:val="18"/>
                <w:b w:val="1"/>
                <w:bCs w:val="1"/>
                <w:color w:val="FFFFFF"/>
              </w:rPr>
              <w:t xml:space="preserve">class </w:t>
            </w:r>
            <w:r>
              <w:rPr>
                <w:rFonts w:ascii="Arial" w:cs="Arial" w:eastAsia="Arial" w:hAnsi="Arial"/>
                <w:sz w:val="14"/>
                <w:szCs w:val="14"/>
                <w:b w:val="1"/>
                <w:bCs w:val="1"/>
                <w:color w:val="FFFFFF"/>
              </w:rPr>
              <w:t>(2)</w:t>
            </w:r>
          </w:p>
        </w:tc>
        <w:tc>
          <w:tcPr>
            <w:tcW w:w="0" w:type="dxa"/>
            <w:vAlign w:val="bottom"/>
          </w:tcPr>
          <w:p>
            <w:pPr>
              <w:spacing w:after="0"/>
              <w:rPr>
                <w:sz w:val="1"/>
                <w:szCs w:val="1"/>
                <w:color w:val="auto"/>
              </w:rPr>
            </w:pPr>
          </w:p>
        </w:tc>
      </w:tr>
      <w:tr>
        <w:trPr>
          <w:trHeight w:val="139"/>
        </w:trPr>
        <w:tc>
          <w:tcPr>
            <w:tcW w:w="5300" w:type="dxa"/>
            <w:vAlign w:val="bottom"/>
            <w:tcBorders>
              <w:left w:val="single" w:sz="8" w:color="2D53A6"/>
              <w:right w:val="single" w:sz="8" w:color="2D53A6"/>
            </w:tcBorders>
            <w:shd w:val="clear" w:color="auto" w:fill="2D53A6"/>
          </w:tcPr>
          <w:p>
            <w:pPr>
              <w:spacing w:after="0"/>
              <w:rPr>
                <w:sz w:val="12"/>
                <w:szCs w:val="12"/>
                <w:color w:val="auto"/>
              </w:rPr>
            </w:pPr>
          </w:p>
        </w:tc>
        <w:tc>
          <w:tcPr>
            <w:tcW w:w="16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rPr>
              <w:t>common stock</w:t>
            </w:r>
          </w:p>
        </w:tc>
        <w:tc>
          <w:tcPr>
            <w:tcW w:w="15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rPr>
              <w:t xml:space="preserve">equivalents </w:t>
            </w:r>
            <w:r>
              <w:rPr>
                <w:rFonts w:ascii="Arial" w:cs="Arial" w:eastAsia="Arial" w:hAnsi="Arial"/>
                <w:sz w:val="14"/>
                <w:szCs w:val="14"/>
                <w:b w:val="1"/>
                <w:bCs w:val="1"/>
                <w:color w:val="FFFFFF"/>
              </w:rPr>
              <w:t>(1)</w:t>
            </w:r>
          </w:p>
        </w:tc>
        <w:tc>
          <w:tcPr>
            <w:tcW w:w="1320" w:type="dxa"/>
            <w:vAlign w:val="bottom"/>
            <w:tcBorders>
              <w:right w:val="single" w:sz="8" w:color="2D53A6"/>
            </w:tcBorders>
            <w:shd w:val="clear" w:color="auto" w:fill="2D53A6"/>
          </w:tcPr>
          <w:p>
            <w:pPr>
              <w:spacing w:after="0"/>
              <w:rPr>
                <w:sz w:val="12"/>
                <w:szCs w:val="12"/>
                <w:color w:val="auto"/>
              </w:rPr>
            </w:pPr>
          </w:p>
        </w:tc>
        <w:tc>
          <w:tcPr>
            <w:tcW w:w="1420" w:type="dxa"/>
            <w:vAlign w:val="bottom"/>
            <w:tcBorders>
              <w:right w:val="single" w:sz="8" w:color="2D53A6"/>
            </w:tcBorders>
            <w:vMerge w:val="continue"/>
            <w:shd w:val="clear" w:color="auto" w:fill="2D53A6"/>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5300" w:type="dxa"/>
            <w:vAlign w:val="bottom"/>
            <w:tcBorders>
              <w:left w:val="single" w:sz="8" w:color="2D53A6"/>
              <w:bottom w:val="single" w:sz="8" w:color="auto"/>
              <w:right w:val="single" w:sz="8" w:color="2D53A6"/>
            </w:tcBorders>
            <w:shd w:val="clear" w:color="auto" w:fill="2D53A6"/>
          </w:tcPr>
          <w:p>
            <w:pPr>
              <w:spacing w:after="0"/>
              <w:rPr>
                <w:sz w:val="7"/>
                <w:szCs w:val="7"/>
                <w:color w:val="auto"/>
              </w:rPr>
            </w:pPr>
          </w:p>
        </w:tc>
        <w:tc>
          <w:tcPr>
            <w:tcW w:w="1620" w:type="dxa"/>
            <w:vAlign w:val="bottom"/>
            <w:tcBorders>
              <w:bottom w:val="single" w:sz="8" w:color="2D53A6"/>
              <w:right w:val="single" w:sz="8" w:color="2D53A6"/>
            </w:tcBorders>
            <w:vMerge w:val="continue"/>
            <w:shd w:val="clear" w:color="auto" w:fill="2D53A6"/>
          </w:tcPr>
          <w:p>
            <w:pPr>
              <w:spacing w:after="0"/>
              <w:rPr>
                <w:sz w:val="7"/>
                <w:szCs w:val="7"/>
                <w:color w:val="auto"/>
              </w:rPr>
            </w:pPr>
          </w:p>
        </w:tc>
        <w:tc>
          <w:tcPr>
            <w:tcW w:w="1580" w:type="dxa"/>
            <w:vAlign w:val="bottom"/>
            <w:tcBorders>
              <w:bottom w:val="single" w:sz="8" w:color="2D53A6"/>
              <w:right w:val="single" w:sz="8" w:color="2D53A6"/>
            </w:tcBorders>
            <w:vMerge w:val="continue"/>
            <w:shd w:val="clear" w:color="auto" w:fill="2D53A6"/>
          </w:tcPr>
          <w:p>
            <w:pPr>
              <w:spacing w:after="0"/>
              <w:rPr>
                <w:sz w:val="7"/>
                <w:szCs w:val="7"/>
                <w:color w:val="auto"/>
              </w:rPr>
            </w:pPr>
          </w:p>
        </w:tc>
        <w:tc>
          <w:tcPr>
            <w:tcW w:w="1320" w:type="dxa"/>
            <w:vAlign w:val="bottom"/>
            <w:tcBorders>
              <w:bottom w:val="single" w:sz="8" w:color="2D53A6"/>
              <w:right w:val="single" w:sz="8" w:color="2D53A6"/>
            </w:tcBorders>
            <w:shd w:val="clear" w:color="auto" w:fill="2D53A6"/>
          </w:tcPr>
          <w:p>
            <w:pPr>
              <w:spacing w:after="0"/>
              <w:rPr>
                <w:sz w:val="7"/>
                <w:szCs w:val="7"/>
                <w:color w:val="auto"/>
              </w:rPr>
            </w:pPr>
          </w:p>
        </w:tc>
        <w:tc>
          <w:tcPr>
            <w:tcW w:w="1420" w:type="dxa"/>
            <w:vAlign w:val="bottom"/>
            <w:tcBorders>
              <w:bottom w:val="single" w:sz="8" w:color="2D53A6"/>
              <w:right w:val="single" w:sz="8" w:color="2D53A6"/>
            </w:tcBorders>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5300" w:type="dxa"/>
            <w:vAlign w:val="bottom"/>
            <w:tcBorders>
              <w:left w:val="single" w:sz="8" w:color="2D53A6"/>
              <w:right w:val="single" w:sz="8" w:color="2D53A6"/>
            </w:tcBorders>
          </w:tcPr>
          <w:p>
            <w:pPr>
              <w:ind w:left="20"/>
              <w:spacing w:after="0" w:line="177" w:lineRule="exact"/>
              <w:rPr>
                <w:sz w:val="20"/>
                <w:szCs w:val="20"/>
                <w:color w:val="auto"/>
              </w:rPr>
            </w:pPr>
            <w:r>
              <w:rPr>
                <w:rFonts w:ascii="Arial" w:cs="Arial" w:eastAsia="Arial" w:hAnsi="Arial"/>
                <w:sz w:val="18"/>
                <w:szCs w:val="18"/>
                <w:color w:val="auto"/>
              </w:rPr>
              <w:t xml:space="preserve">BlackRock, Inc. </w:t>
            </w:r>
            <w:r>
              <w:rPr>
                <w:rFonts w:ascii="Arial" w:cs="Arial" w:eastAsia="Arial" w:hAnsi="Arial"/>
                <w:sz w:val="14"/>
                <w:szCs w:val="14"/>
                <w:color w:val="auto"/>
              </w:rPr>
              <w:t>(3)</w:t>
            </w:r>
          </w:p>
        </w:tc>
        <w:tc>
          <w:tcPr>
            <w:tcW w:w="1620" w:type="dxa"/>
            <w:vAlign w:val="bottom"/>
            <w:tcBorders>
              <w:right w:val="single" w:sz="8" w:color="2D53A6"/>
            </w:tcBorders>
          </w:tcPr>
          <w:p>
            <w:pPr>
              <w:jc w:val="right"/>
              <w:ind w:right="50"/>
              <w:spacing w:after="0" w:line="177" w:lineRule="exact"/>
              <w:rPr>
                <w:sz w:val="20"/>
                <w:szCs w:val="20"/>
                <w:color w:val="auto"/>
              </w:rPr>
            </w:pPr>
            <w:r>
              <w:rPr>
                <w:rFonts w:ascii="Arial" w:cs="Arial" w:eastAsia="Arial" w:hAnsi="Arial"/>
                <w:sz w:val="18"/>
                <w:szCs w:val="18"/>
                <w:color w:val="auto"/>
              </w:rPr>
              <w:t>7,478,150</w:t>
            </w:r>
          </w:p>
        </w:tc>
        <w:tc>
          <w:tcPr>
            <w:tcW w:w="1580" w:type="dxa"/>
            <w:vAlign w:val="bottom"/>
            <w:tcBorders>
              <w:right w:val="single" w:sz="8" w:color="2D53A6"/>
            </w:tcBorders>
          </w:tcPr>
          <w:p>
            <w:pPr>
              <w:jc w:val="right"/>
              <w:ind w:right="30"/>
              <w:spacing w:after="0" w:line="177"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2D53A6"/>
            </w:tcBorders>
          </w:tcPr>
          <w:p>
            <w:pPr>
              <w:jc w:val="right"/>
              <w:ind w:right="30"/>
              <w:spacing w:after="0" w:line="177" w:lineRule="exact"/>
              <w:rPr>
                <w:sz w:val="20"/>
                <w:szCs w:val="20"/>
                <w:color w:val="auto"/>
              </w:rPr>
            </w:pPr>
            <w:r>
              <w:rPr>
                <w:rFonts w:ascii="Arial" w:cs="Arial" w:eastAsia="Arial" w:hAnsi="Arial"/>
                <w:sz w:val="18"/>
                <w:szCs w:val="18"/>
                <w:color w:val="auto"/>
              </w:rPr>
              <w:t>7,478,150</w:t>
            </w:r>
          </w:p>
        </w:tc>
        <w:tc>
          <w:tcPr>
            <w:tcW w:w="1420" w:type="dxa"/>
            <w:vAlign w:val="bottom"/>
            <w:tcBorders>
              <w:right w:val="single" w:sz="8" w:color="2D53A6"/>
            </w:tcBorders>
          </w:tcPr>
          <w:p>
            <w:pPr>
              <w:jc w:val="right"/>
              <w:spacing w:after="0" w:line="177" w:lineRule="exact"/>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21"/>
        </w:trPr>
        <w:tc>
          <w:tcPr>
            <w:tcW w:w="5300" w:type="dxa"/>
            <w:vAlign w:val="bottom"/>
            <w:tcBorders>
              <w:left w:val="single" w:sz="8" w:color="2D53A6"/>
              <w:bottom w:val="single" w:sz="8" w:color="2D53A6"/>
              <w:right w:val="single" w:sz="8" w:color="2D53A6"/>
            </w:tcBorders>
          </w:tcPr>
          <w:p>
            <w:pPr>
              <w:ind w:left="20"/>
              <w:spacing w:after="0"/>
              <w:rPr>
                <w:sz w:val="20"/>
                <w:szCs w:val="20"/>
                <w:color w:val="auto"/>
              </w:rPr>
            </w:pPr>
            <w:r>
              <w:rPr>
                <w:rFonts w:ascii="Arial" w:cs="Arial" w:eastAsia="Arial" w:hAnsi="Arial"/>
                <w:sz w:val="18"/>
                <w:szCs w:val="18"/>
                <w:color w:val="auto"/>
              </w:rPr>
              <w:t>55 East 52nd Street, New York, NY 10055</w:t>
            </w:r>
          </w:p>
        </w:tc>
        <w:tc>
          <w:tcPr>
            <w:tcW w:w="1620" w:type="dxa"/>
            <w:vAlign w:val="bottom"/>
            <w:tcBorders>
              <w:bottom w:val="single" w:sz="8" w:color="2D53A6"/>
              <w:right w:val="single" w:sz="8" w:color="2D53A6"/>
            </w:tcBorders>
          </w:tcPr>
          <w:p>
            <w:pPr>
              <w:spacing w:after="0"/>
              <w:rPr>
                <w:sz w:val="19"/>
                <w:szCs w:val="19"/>
                <w:color w:val="auto"/>
              </w:rPr>
            </w:pPr>
          </w:p>
        </w:tc>
        <w:tc>
          <w:tcPr>
            <w:tcW w:w="1580" w:type="dxa"/>
            <w:vAlign w:val="bottom"/>
            <w:tcBorders>
              <w:bottom w:val="single" w:sz="8" w:color="2D53A6"/>
              <w:right w:val="single" w:sz="8" w:color="2D53A6"/>
            </w:tcBorders>
          </w:tcPr>
          <w:p>
            <w:pPr>
              <w:spacing w:after="0"/>
              <w:rPr>
                <w:sz w:val="19"/>
                <w:szCs w:val="19"/>
                <w:color w:val="auto"/>
              </w:rPr>
            </w:pPr>
          </w:p>
        </w:tc>
        <w:tc>
          <w:tcPr>
            <w:tcW w:w="1320" w:type="dxa"/>
            <w:vAlign w:val="bottom"/>
            <w:tcBorders>
              <w:bottom w:val="single" w:sz="8" w:color="2D53A6"/>
              <w:right w:val="single" w:sz="8" w:color="2D53A6"/>
            </w:tcBorders>
          </w:tcPr>
          <w:p>
            <w:pPr>
              <w:spacing w:after="0"/>
              <w:rPr>
                <w:sz w:val="19"/>
                <w:szCs w:val="19"/>
                <w:color w:val="auto"/>
              </w:rPr>
            </w:pPr>
          </w:p>
        </w:tc>
        <w:tc>
          <w:tcPr>
            <w:tcW w:w="1420" w:type="dxa"/>
            <w:vAlign w:val="bottom"/>
            <w:tcBorders>
              <w:bottom w:val="single" w:sz="8" w:color="2D53A6"/>
              <w:right w:val="single" w:sz="8" w:color="2D53A6"/>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5300" w:type="dxa"/>
            <w:vAlign w:val="bottom"/>
            <w:tcBorders>
              <w:left w:val="single" w:sz="8" w:color="2D53A6"/>
              <w:right w:val="single" w:sz="8" w:color="2D53A6"/>
            </w:tcBorders>
            <w:shd w:val="clear" w:color="auto" w:fill="E6E6E6"/>
          </w:tcPr>
          <w:p>
            <w:pPr>
              <w:ind w:left="20"/>
              <w:spacing w:after="0" w:line="177" w:lineRule="exact"/>
              <w:rPr>
                <w:sz w:val="20"/>
                <w:szCs w:val="20"/>
                <w:color w:val="auto"/>
              </w:rPr>
            </w:pPr>
            <w:r>
              <w:rPr>
                <w:rFonts w:ascii="Arial" w:cs="Arial" w:eastAsia="Arial" w:hAnsi="Arial"/>
                <w:sz w:val="18"/>
                <w:szCs w:val="18"/>
                <w:color w:val="auto"/>
              </w:rPr>
              <w:t xml:space="preserve">The Vanguard Group </w:t>
            </w:r>
            <w:r>
              <w:rPr>
                <w:rFonts w:ascii="Arial" w:cs="Arial" w:eastAsia="Arial" w:hAnsi="Arial"/>
                <w:sz w:val="14"/>
                <w:szCs w:val="14"/>
                <w:color w:val="auto"/>
              </w:rPr>
              <w:t>(4)</w:t>
            </w:r>
          </w:p>
        </w:tc>
        <w:tc>
          <w:tcPr>
            <w:tcW w:w="1620" w:type="dxa"/>
            <w:vAlign w:val="bottom"/>
            <w:tcBorders>
              <w:right w:val="single" w:sz="8" w:color="2D53A6"/>
            </w:tcBorders>
            <w:shd w:val="clear" w:color="auto" w:fill="E6E6E6"/>
          </w:tcPr>
          <w:p>
            <w:pPr>
              <w:jc w:val="right"/>
              <w:ind w:right="50"/>
              <w:spacing w:after="0" w:line="177" w:lineRule="exact"/>
              <w:rPr>
                <w:sz w:val="20"/>
                <w:szCs w:val="20"/>
                <w:color w:val="auto"/>
              </w:rPr>
            </w:pPr>
            <w:r>
              <w:rPr>
                <w:rFonts w:ascii="Arial" w:cs="Arial" w:eastAsia="Arial" w:hAnsi="Arial"/>
                <w:sz w:val="18"/>
                <w:szCs w:val="18"/>
                <w:color w:val="auto"/>
              </w:rPr>
              <w:t>4,165,622</w:t>
            </w:r>
          </w:p>
        </w:tc>
        <w:tc>
          <w:tcPr>
            <w:tcW w:w="1580" w:type="dxa"/>
            <w:vAlign w:val="bottom"/>
            <w:tcBorders>
              <w:right w:val="single" w:sz="8" w:color="2D53A6"/>
            </w:tcBorders>
            <w:shd w:val="clear" w:color="auto" w:fill="E6E6E6"/>
          </w:tcPr>
          <w:p>
            <w:pPr>
              <w:jc w:val="right"/>
              <w:ind w:right="30"/>
              <w:spacing w:after="0" w:line="177"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2D53A6"/>
            </w:tcBorders>
            <w:shd w:val="clear" w:color="auto" w:fill="E6E6E6"/>
          </w:tcPr>
          <w:p>
            <w:pPr>
              <w:jc w:val="right"/>
              <w:ind w:right="30"/>
              <w:spacing w:after="0" w:line="177" w:lineRule="exact"/>
              <w:rPr>
                <w:sz w:val="20"/>
                <w:szCs w:val="20"/>
                <w:color w:val="auto"/>
              </w:rPr>
            </w:pPr>
            <w:r>
              <w:rPr>
                <w:rFonts w:ascii="Arial" w:cs="Arial" w:eastAsia="Arial" w:hAnsi="Arial"/>
                <w:sz w:val="18"/>
                <w:szCs w:val="18"/>
                <w:color w:val="auto"/>
              </w:rPr>
              <w:t>4,165,622</w:t>
            </w:r>
          </w:p>
        </w:tc>
        <w:tc>
          <w:tcPr>
            <w:tcW w:w="1420" w:type="dxa"/>
            <w:vAlign w:val="bottom"/>
            <w:tcBorders>
              <w:right w:val="single" w:sz="8" w:color="2D53A6"/>
            </w:tcBorders>
            <w:shd w:val="clear" w:color="auto" w:fill="E6E6E6"/>
          </w:tcPr>
          <w:p>
            <w:pPr>
              <w:jc w:val="right"/>
              <w:spacing w:after="0" w:line="177" w:lineRule="exact"/>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1"/>
        </w:trPr>
        <w:tc>
          <w:tcPr>
            <w:tcW w:w="5300" w:type="dxa"/>
            <w:vAlign w:val="bottom"/>
            <w:tcBorders>
              <w:left w:val="single" w:sz="8" w:color="2D53A6"/>
              <w:bottom w:val="single" w:sz="8" w:color="2D53A6"/>
              <w:right w:val="single" w:sz="8" w:color="2D53A6"/>
            </w:tcBorders>
            <w:shd w:val="clear" w:color="auto" w:fill="E6E6E6"/>
          </w:tcPr>
          <w:p>
            <w:pPr>
              <w:ind w:left="20"/>
              <w:spacing w:after="0"/>
              <w:rPr>
                <w:sz w:val="20"/>
                <w:szCs w:val="20"/>
                <w:color w:val="auto"/>
              </w:rPr>
            </w:pPr>
            <w:r>
              <w:rPr>
                <w:rFonts w:ascii="Arial" w:cs="Arial" w:eastAsia="Arial" w:hAnsi="Arial"/>
                <w:sz w:val="18"/>
                <w:szCs w:val="18"/>
                <w:color w:val="auto"/>
              </w:rPr>
              <w:t>100 Vanguard Blvd. Malvern, PA 19355</w:t>
            </w:r>
          </w:p>
        </w:tc>
        <w:tc>
          <w:tcPr>
            <w:tcW w:w="1620" w:type="dxa"/>
            <w:vAlign w:val="bottom"/>
            <w:tcBorders>
              <w:bottom w:val="single" w:sz="8" w:color="2D53A6"/>
              <w:right w:val="single" w:sz="8" w:color="2D53A6"/>
            </w:tcBorders>
            <w:shd w:val="clear" w:color="auto" w:fill="E6E6E6"/>
          </w:tcPr>
          <w:p>
            <w:pPr>
              <w:spacing w:after="0"/>
              <w:rPr>
                <w:sz w:val="19"/>
                <w:szCs w:val="19"/>
                <w:color w:val="auto"/>
              </w:rPr>
            </w:pPr>
          </w:p>
        </w:tc>
        <w:tc>
          <w:tcPr>
            <w:tcW w:w="1580" w:type="dxa"/>
            <w:vAlign w:val="bottom"/>
            <w:tcBorders>
              <w:bottom w:val="single" w:sz="8" w:color="2D53A6"/>
              <w:right w:val="single" w:sz="8" w:color="2D53A6"/>
            </w:tcBorders>
            <w:shd w:val="clear" w:color="auto" w:fill="E6E6E6"/>
          </w:tcPr>
          <w:p>
            <w:pPr>
              <w:spacing w:after="0"/>
              <w:rPr>
                <w:sz w:val="19"/>
                <w:szCs w:val="19"/>
                <w:color w:val="auto"/>
              </w:rPr>
            </w:pPr>
          </w:p>
        </w:tc>
        <w:tc>
          <w:tcPr>
            <w:tcW w:w="1320" w:type="dxa"/>
            <w:vAlign w:val="bottom"/>
            <w:tcBorders>
              <w:bottom w:val="single" w:sz="8" w:color="2D53A6"/>
              <w:right w:val="single" w:sz="8" w:color="2D53A6"/>
            </w:tcBorders>
            <w:shd w:val="clear" w:color="auto" w:fill="E6E6E6"/>
          </w:tcPr>
          <w:p>
            <w:pPr>
              <w:spacing w:after="0"/>
              <w:rPr>
                <w:sz w:val="19"/>
                <w:szCs w:val="19"/>
                <w:color w:val="auto"/>
              </w:rPr>
            </w:pPr>
          </w:p>
        </w:tc>
        <w:tc>
          <w:tcPr>
            <w:tcW w:w="1420" w:type="dxa"/>
            <w:vAlign w:val="bottom"/>
            <w:tcBorders>
              <w:bottom w:val="single" w:sz="8" w:color="2D53A6"/>
              <w:right w:val="single" w:sz="8" w:color="2D53A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5300" w:type="dxa"/>
            <w:vAlign w:val="bottom"/>
            <w:tcBorders>
              <w:left w:val="single" w:sz="8" w:color="2D53A6"/>
              <w:right w:val="single" w:sz="8" w:color="2D53A6"/>
            </w:tcBorders>
          </w:tcPr>
          <w:p>
            <w:pPr>
              <w:ind w:left="20"/>
              <w:spacing w:after="0" w:line="177" w:lineRule="exact"/>
              <w:rPr>
                <w:sz w:val="20"/>
                <w:szCs w:val="20"/>
                <w:color w:val="auto"/>
              </w:rPr>
            </w:pPr>
            <w:r>
              <w:rPr>
                <w:rFonts w:ascii="Arial" w:cs="Arial" w:eastAsia="Arial" w:hAnsi="Arial"/>
                <w:sz w:val="18"/>
                <w:szCs w:val="18"/>
                <w:color w:val="auto"/>
              </w:rPr>
              <w:t xml:space="preserve">Victory Capital Management Inc. </w:t>
            </w:r>
            <w:r>
              <w:rPr>
                <w:rFonts w:ascii="Arial" w:cs="Arial" w:eastAsia="Arial" w:hAnsi="Arial"/>
                <w:sz w:val="14"/>
                <w:szCs w:val="14"/>
                <w:color w:val="auto"/>
              </w:rPr>
              <w:t>(5)</w:t>
            </w:r>
          </w:p>
        </w:tc>
        <w:tc>
          <w:tcPr>
            <w:tcW w:w="1620" w:type="dxa"/>
            <w:vAlign w:val="bottom"/>
            <w:tcBorders>
              <w:right w:val="single" w:sz="8" w:color="2D53A6"/>
            </w:tcBorders>
          </w:tcPr>
          <w:p>
            <w:pPr>
              <w:jc w:val="right"/>
              <w:ind w:right="50"/>
              <w:spacing w:after="0" w:line="177" w:lineRule="exact"/>
              <w:rPr>
                <w:sz w:val="20"/>
                <w:szCs w:val="20"/>
                <w:color w:val="auto"/>
              </w:rPr>
            </w:pPr>
            <w:r>
              <w:rPr>
                <w:rFonts w:ascii="Arial" w:cs="Arial" w:eastAsia="Arial" w:hAnsi="Arial"/>
                <w:sz w:val="18"/>
                <w:szCs w:val="18"/>
                <w:color w:val="auto"/>
              </w:rPr>
              <w:t>3,355,391</w:t>
            </w:r>
          </w:p>
        </w:tc>
        <w:tc>
          <w:tcPr>
            <w:tcW w:w="1580" w:type="dxa"/>
            <w:vAlign w:val="bottom"/>
            <w:tcBorders>
              <w:right w:val="single" w:sz="8" w:color="2D53A6"/>
            </w:tcBorders>
          </w:tcPr>
          <w:p>
            <w:pPr>
              <w:jc w:val="right"/>
              <w:ind w:right="30"/>
              <w:spacing w:after="0" w:line="177"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2D53A6"/>
            </w:tcBorders>
          </w:tcPr>
          <w:p>
            <w:pPr>
              <w:jc w:val="right"/>
              <w:ind w:right="30"/>
              <w:spacing w:after="0" w:line="177" w:lineRule="exact"/>
              <w:rPr>
                <w:sz w:val="20"/>
                <w:szCs w:val="20"/>
                <w:color w:val="auto"/>
              </w:rPr>
            </w:pPr>
            <w:r>
              <w:rPr>
                <w:rFonts w:ascii="Arial" w:cs="Arial" w:eastAsia="Arial" w:hAnsi="Arial"/>
                <w:sz w:val="18"/>
                <w:szCs w:val="18"/>
                <w:color w:val="auto"/>
              </w:rPr>
              <w:t>3,355,391</w:t>
            </w:r>
          </w:p>
        </w:tc>
        <w:tc>
          <w:tcPr>
            <w:tcW w:w="1420" w:type="dxa"/>
            <w:vAlign w:val="bottom"/>
            <w:tcBorders>
              <w:right w:val="single" w:sz="8" w:color="2D53A6"/>
            </w:tcBorders>
          </w:tcPr>
          <w:p>
            <w:pPr>
              <w:jc w:val="right"/>
              <w:spacing w:after="0" w:line="177" w:lineRule="exact"/>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21"/>
        </w:trPr>
        <w:tc>
          <w:tcPr>
            <w:tcW w:w="5300" w:type="dxa"/>
            <w:vAlign w:val="bottom"/>
            <w:tcBorders>
              <w:left w:val="single" w:sz="8" w:color="2D53A6"/>
              <w:bottom w:val="single" w:sz="8" w:color="2D53A6"/>
              <w:right w:val="single" w:sz="8" w:color="2D53A6"/>
            </w:tcBorders>
          </w:tcPr>
          <w:p>
            <w:pPr>
              <w:ind w:left="20"/>
              <w:spacing w:after="0"/>
              <w:rPr>
                <w:sz w:val="20"/>
                <w:szCs w:val="20"/>
                <w:color w:val="auto"/>
              </w:rPr>
            </w:pPr>
            <w:r>
              <w:rPr>
                <w:rFonts w:ascii="Arial" w:cs="Arial" w:eastAsia="Arial" w:hAnsi="Arial"/>
                <w:sz w:val="18"/>
                <w:szCs w:val="18"/>
                <w:color w:val="auto"/>
              </w:rPr>
              <w:t>4900 Tiedeman Rd. 4th Floor Brooklyn, OH 44144</w:t>
            </w:r>
          </w:p>
        </w:tc>
        <w:tc>
          <w:tcPr>
            <w:tcW w:w="1620" w:type="dxa"/>
            <w:vAlign w:val="bottom"/>
            <w:tcBorders>
              <w:bottom w:val="single" w:sz="8" w:color="2D53A6"/>
              <w:right w:val="single" w:sz="8" w:color="2D53A6"/>
            </w:tcBorders>
          </w:tcPr>
          <w:p>
            <w:pPr>
              <w:spacing w:after="0"/>
              <w:rPr>
                <w:sz w:val="19"/>
                <w:szCs w:val="19"/>
                <w:color w:val="auto"/>
              </w:rPr>
            </w:pPr>
          </w:p>
        </w:tc>
        <w:tc>
          <w:tcPr>
            <w:tcW w:w="1580" w:type="dxa"/>
            <w:vAlign w:val="bottom"/>
            <w:tcBorders>
              <w:bottom w:val="single" w:sz="8" w:color="2D53A6"/>
              <w:right w:val="single" w:sz="8" w:color="2D53A6"/>
            </w:tcBorders>
          </w:tcPr>
          <w:p>
            <w:pPr>
              <w:spacing w:after="0"/>
              <w:rPr>
                <w:sz w:val="19"/>
                <w:szCs w:val="19"/>
                <w:color w:val="auto"/>
              </w:rPr>
            </w:pPr>
          </w:p>
        </w:tc>
        <w:tc>
          <w:tcPr>
            <w:tcW w:w="1320" w:type="dxa"/>
            <w:vAlign w:val="bottom"/>
            <w:tcBorders>
              <w:bottom w:val="single" w:sz="8" w:color="2D53A6"/>
              <w:right w:val="single" w:sz="8" w:color="2D53A6"/>
            </w:tcBorders>
          </w:tcPr>
          <w:p>
            <w:pPr>
              <w:spacing w:after="0"/>
              <w:rPr>
                <w:sz w:val="19"/>
                <w:szCs w:val="19"/>
                <w:color w:val="auto"/>
              </w:rPr>
            </w:pPr>
          </w:p>
        </w:tc>
        <w:tc>
          <w:tcPr>
            <w:tcW w:w="1420" w:type="dxa"/>
            <w:vAlign w:val="bottom"/>
            <w:tcBorders>
              <w:bottom w:val="single" w:sz="8" w:color="2D53A6"/>
              <w:right w:val="single" w:sz="8" w:color="2D53A6"/>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5300" w:type="dxa"/>
            <w:vAlign w:val="bottom"/>
            <w:tcBorders>
              <w:left w:val="single" w:sz="8" w:color="2D53A6"/>
              <w:right w:val="single" w:sz="8" w:color="2D53A6"/>
            </w:tcBorders>
            <w:shd w:val="clear" w:color="auto" w:fill="E6E6E6"/>
          </w:tcPr>
          <w:p>
            <w:pPr>
              <w:ind w:left="20"/>
              <w:spacing w:after="0" w:line="177" w:lineRule="exact"/>
              <w:rPr>
                <w:sz w:val="20"/>
                <w:szCs w:val="20"/>
                <w:color w:val="auto"/>
              </w:rPr>
            </w:pPr>
            <w:r>
              <w:rPr>
                <w:rFonts w:ascii="Arial" w:cs="Arial" w:eastAsia="Arial" w:hAnsi="Arial"/>
                <w:sz w:val="18"/>
                <w:szCs w:val="18"/>
                <w:color w:val="auto"/>
              </w:rPr>
              <w:t xml:space="preserve">Dimensional Fund Advisors LP </w:t>
            </w:r>
            <w:r>
              <w:rPr>
                <w:rFonts w:ascii="Arial" w:cs="Arial" w:eastAsia="Arial" w:hAnsi="Arial"/>
                <w:sz w:val="14"/>
                <w:szCs w:val="14"/>
                <w:color w:val="auto"/>
              </w:rPr>
              <w:t>(6)</w:t>
            </w:r>
          </w:p>
        </w:tc>
        <w:tc>
          <w:tcPr>
            <w:tcW w:w="1620" w:type="dxa"/>
            <w:vAlign w:val="bottom"/>
            <w:tcBorders>
              <w:right w:val="single" w:sz="8" w:color="2D53A6"/>
            </w:tcBorders>
            <w:shd w:val="clear" w:color="auto" w:fill="E6E6E6"/>
          </w:tcPr>
          <w:p>
            <w:pPr>
              <w:jc w:val="right"/>
              <w:ind w:right="50"/>
              <w:spacing w:after="0" w:line="177" w:lineRule="exact"/>
              <w:rPr>
                <w:sz w:val="20"/>
                <w:szCs w:val="20"/>
                <w:color w:val="auto"/>
              </w:rPr>
            </w:pPr>
            <w:r>
              <w:rPr>
                <w:rFonts w:ascii="Arial" w:cs="Arial" w:eastAsia="Arial" w:hAnsi="Arial"/>
                <w:sz w:val="18"/>
                <w:szCs w:val="18"/>
                <w:color w:val="auto"/>
              </w:rPr>
              <w:t>3,064,076</w:t>
            </w:r>
          </w:p>
        </w:tc>
        <w:tc>
          <w:tcPr>
            <w:tcW w:w="1580" w:type="dxa"/>
            <w:vAlign w:val="bottom"/>
            <w:tcBorders>
              <w:right w:val="single" w:sz="8" w:color="2D53A6"/>
            </w:tcBorders>
            <w:shd w:val="clear" w:color="auto" w:fill="E6E6E6"/>
          </w:tcPr>
          <w:p>
            <w:pPr>
              <w:jc w:val="right"/>
              <w:ind w:right="30"/>
              <w:spacing w:after="0" w:line="177"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2D53A6"/>
            </w:tcBorders>
            <w:shd w:val="clear" w:color="auto" w:fill="E6E6E6"/>
          </w:tcPr>
          <w:p>
            <w:pPr>
              <w:jc w:val="right"/>
              <w:ind w:right="30"/>
              <w:spacing w:after="0" w:line="177" w:lineRule="exact"/>
              <w:rPr>
                <w:sz w:val="20"/>
                <w:szCs w:val="20"/>
                <w:color w:val="auto"/>
              </w:rPr>
            </w:pPr>
            <w:r>
              <w:rPr>
                <w:rFonts w:ascii="Arial" w:cs="Arial" w:eastAsia="Arial" w:hAnsi="Arial"/>
                <w:sz w:val="18"/>
                <w:szCs w:val="18"/>
                <w:color w:val="auto"/>
              </w:rPr>
              <w:t>3,064,076</w:t>
            </w:r>
          </w:p>
        </w:tc>
        <w:tc>
          <w:tcPr>
            <w:tcW w:w="1420" w:type="dxa"/>
            <w:vAlign w:val="bottom"/>
            <w:tcBorders>
              <w:right w:val="single" w:sz="8" w:color="2D53A6"/>
            </w:tcBorders>
            <w:shd w:val="clear" w:color="auto" w:fill="E6E6E6"/>
          </w:tcPr>
          <w:p>
            <w:pPr>
              <w:jc w:val="right"/>
              <w:spacing w:after="0" w:line="177" w:lineRule="exact"/>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21"/>
        </w:trPr>
        <w:tc>
          <w:tcPr>
            <w:tcW w:w="5300" w:type="dxa"/>
            <w:vAlign w:val="bottom"/>
            <w:tcBorders>
              <w:left w:val="single" w:sz="8" w:color="2D53A6"/>
              <w:bottom w:val="single" w:sz="8" w:color="2D53A6"/>
              <w:right w:val="single" w:sz="8" w:color="2D53A6"/>
            </w:tcBorders>
            <w:shd w:val="clear" w:color="auto" w:fill="E6E6E6"/>
          </w:tcPr>
          <w:p>
            <w:pPr>
              <w:ind w:left="20"/>
              <w:spacing w:after="0"/>
              <w:rPr>
                <w:sz w:val="20"/>
                <w:szCs w:val="20"/>
                <w:color w:val="auto"/>
              </w:rPr>
            </w:pPr>
            <w:r>
              <w:rPr>
                <w:rFonts w:ascii="Arial" w:cs="Arial" w:eastAsia="Arial" w:hAnsi="Arial"/>
                <w:sz w:val="18"/>
                <w:szCs w:val="18"/>
                <w:color w:val="auto"/>
              </w:rPr>
              <w:t>6300 Bee Cave Road, Austin, TX 78746</w:t>
            </w:r>
          </w:p>
        </w:tc>
        <w:tc>
          <w:tcPr>
            <w:tcW w:w="1620" w:type="dxa"/>
            <w:vAlign w:val="bottom"/>
            <w:tcBorders>
              <w:bottom w:val="single" w:sz="8" w:color="2D53A6"/>
              <w:right w:val="single" w:sz="8" w:color="2D53A6"/>
            </w:tcBorders>
            <w:shd w:val="clear" w:color="auto" w:fill="E6E6E6"/>
          </w:tcPr>
          <w:p>
            <w:pPr>
              <w:spacing w:after="0"/>
              <w:rPr>
                <w:sz w:val="19"/>
                <w:szCs w:val="19"/>
                <w:color w:val="auto"/>
              </w:rPr>
            </w:pPr>
          </w:p>
        </w:tc>
        <w:tc>
          <w:tcPr>
            <w:tcW w:w="1580" w:type="dxa"/>
            <w:vAlign w:val="bottom"/>
            <w:tcBorders>
              <w:bottom w:val="single" w:sz="8" w:color="2D53A6"/>
              <w:right w:val="single" w:sz="8" w:color="2D53A6"/>
            </w:tcBorders>
            <w:shd w:val="clear" w:color="auto" w:fill="E6E6E6"/>
          </w:tcPr>
          <w:p>
            <w:pPr>
              <w:spacing w:after="0"/>
              <w:rPr>
                <w:sz w:val="19"/>
                <w:szCs w:val="19"/>
                <w:color w:val="auto"/>
              </w:rPr>
            </w:pPr>
          </w:p>
        </w:tc>
        <w:tc>
          <w:tcPr>
            <w:tcW w:w="1320" w:type="dxa"/>
            <w:vAlign w:val="bottom"/>
            <w:tcBorders>
              <w:bottom w:val="single" w:sz="8" w:color="2D53A6"/>
              <w:right w:val="single" w:sz="8" w:color="2D53A6"/>
            </w:tcBorders>
            <w:shd w:val="clear" w:color="auto" w:fill="E6E6E6"/>
          </w:tcPr>
          <w:p>
            <w:pPr>
              <w:spacing w:after="0"/>
              <w:rPr>
                <w:sz w:val="19"/>
                <w:szCs w:val="19"/>
                <w:color w:val="auto"/>
              </w:rPr>
            </w:pPr>
          </w:p>
        </w:tc>
        <w:tc>
          <w:tcPr>
            <w:tcW w:w="1420" w:type="dxa"/>
            <w:vAlign w:val="bottom"/>
            <w:tcBorders>
              <w:bottom w:val="single" w:sz="8" w:color="2D53A6"/>
              <w:right w:val="single" w:sz="8" w:color="2D53A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300" w:type="dxa"/>
            <w:vAlign w:val="bottom"/>
            <w:tcBorders>
              <w:left w:val="single" w:sz="8" w:color="2D53A6"/>
              <w:right w:val="single" w:sz="8" w:color="2D53A6"/>
            </w:tcBorders>
          </w:tcPr>
          <w:p>
            <w:pPr>
              <w:ind w:left="20"/>
              <w:spacing w:after="0" w:line="156" w:lineRule="exact"/>
              <w:rPr>
                <w:sz w:val="20"/>
                <w:szCs w:val="20"/>
                <w:color w:val="auto"/>
              </w:rPr>
            </w:pPr>
            <w:r>
              <w:rPr>
                <w:rFonts w:ascii="Arial" w:cs="Arial" w:eastAsia="Arial" w:hAnsi="Arial"/>
                <w:sz w:val="18"/>
                <w:szCs w:val="18"/>
                <w:color w:val="auto"/>
              </w:rPr>
              <w:t xml:space="preserve">Franklin Mutual Advisers, LLC </w:t>
            </w:r>
            <w:r>
              <w:rPr>
                <w:rFonts w:ascii="Arial" w:cs="Arial" w:eastAsia="Arial" w:hAnsi="Arial"/>
                <w:sz w:val="14"/>
                <w:szCs w:val="14"/>
                <w:color w:val="auto"/>
              </w:rPr>
              <w:t>(7)</w:t>
            </w:r>
          </w:p>
        </w:tc>
        <w:tc>
          <w:tcPr>
            <w:tcW w:w="1620" w:type="dxa"/>
            <w:vAlign w:val="bottom"/>
            <w:tcBorders>
              <w:right w:val="single" w:sz="8" w:color="2D53A6"/>
            </w:tcBorders>
          </w:tcPr>
          <w:p>
            <w:pPr>
              <w:jc w:val="right"/>
              <w:ind w:right="50"/>
              <w:spacing w:after="0" w:line="156" w:lineRule="exact"/>
              <w:rPr>
                <w:sz w:val="20"/>
                <w:szCs w:val="20"/>
                <w:color w:val="auto"/>
              </w:rPr>
            </w:pPr>
            <w:r>
              <w:rPr>
                <w:rFonts w:ascii="Arial" w:cs="Arial" w:eastAsia="Arial" w:hAnsi="Arial"/>
                <w:sz w:val="18"/>
                <w:szCs w:val="18"/>
                <w:color w:val="auto"/>
              </w:rPr>
              <w:t>2,782,581</w:t>
            </w:r>
          </w:p>
        </w:tc>
        <w:tc>
          <w:tcPr>
            <w:tcW w:w="1580" w:type="dxa"/>
            <w:vAlign w:val="bottom"/>
            <w:tcBorders>
              <w:right w:val="single" w:sz="8" w:color="2D53A6"/>
            </w:tcBorders>
          </w:tcPr>
          <w:p>
            <w:pPr>
              <w:jc w:val="right"/>
              <w:ind w:right="30"/>
              <w:spacing w:after="0" w:line="156"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2D53A6"/>
            </w:tcBorders>
          </w:tcPr>
          <w:p>
            <w:pPr>
              <w:jc w:val="right"/>
              <w:ind w:right="30"/>
              <w:spacing w:after="0" w:line="156" w:lineRule="exact"/>
              <w:rPr>
                <w:sz w:val="20"/>
                <w:szCs w:val="20"/>
                <w:color w:val="auto"/>
              </w:rPr>
            </w:pPr>
            <w:r>
              <w:rPr>
                <w:rFonts w:ascii="Arial" w:cs="Arial" w:eastAsia="Arial" w:hAnsi="Arial"/>
                <w:sz w:val="18"/>
                <w:szCs w:val="18"/>
                <w:color w:val="auto"/>
              </w:rPr>
              <w:t>2,782,581</w:t>
            </w:r>
          </w:p>
        </w:tc>
        <w:tc>
          <w:tcPr>
            <w:tcW w:w="1420" w:type="dxa"/>
            <w:vAlign w:val="bottom"/>
            <w:tcBorders>
              <w:right w:val="single" w:sz="8" w:color="2D53A6"/>
            </w:tcBorders>
          </w:tcPr>
          <w:p>
            <w:pPr>
              <w:jc w:val="right"/>
              <w:spacing w:after="0" w:line="156" w:lineRule="exact"/>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43"/>
        </w:trPr>
        <w:tc>
          <w:tcPr>
            <w:tcW w:w="5300" w:type="dxa"/>
            <w:vAlign w:val="bottom"/>
            <w:tcBorders>
              <w:left w:val="single" w:sz="8" w:color="2D53A6"/>
              <w:bottom w:val="single" w:sz="8" w:color="2D53A6"/>
              <w:right w:val="single" w:sz="8" w:color="2D53A6"/>
            </w:tcBorders>
          </w:tcPr>
          <w:p>
            <w:pPr>
              <w:ind w:left="20"/>
              <w:spacing w:after="0" w:line="207" w:lineRule="exact"/>
              <w:rPr>
                <w:sz w:val="20"/>
                <w:szCs w:val="20"/>
                <w:color w:val="auto"/>
              </w:rPr>
            </w:pPr>
            <w:r>
              <w:rPr>
                <w:rFonts w:ascii="Arial" w:cs="Arial" w:eastAsia="Arial" w:hAnsi="Arial"/>
                <w:sz w:val="18"/>
                <w:szCs w:val="18"/>
                <w:color w:val="auto"/>
              </w:rPr>
              <w:t>101 John F. Kennedy Parkway Short Hills, NJ 07078</w:t>
            </w:r>
            <w:r>
              <w:rPr>
                <w:rFonts w:ascii="MS PGothic" w:cs="MS PGothic" w:eastAsia="MS PGothic" w:hAnsi="MS PGothic"/>
                <w:sz w:val="18"/>
                <w:szCs w:val="18"/>
                <w:color w:val="auto"/>
              </w:rPr>
              <w:t>‑</w:t>
            </w:r>
            <w:r>
              <w:rPr>
                <w:rFonts w:ascii="Arial" w:cs="Arial" w:eastAsia="Arial" w:hAnsi="Arial"/>
                <w:sz w:val="18"/>
                <w:szCs w:val="18"/>
                <w:color w:val="auto"/>
              </w:rPr>
              <w:t>2789</w:t>
            </w:r>
          </w:p>
        </w:tc>
        <w:tc>
          <w:tcPr>
            <w:tcW w:w="1620" w:type="dxa"/>
            <w:vAlign w:val="bottom"/>
            <w:tcBorders>
              <w:bottom w:val="single" w:sz="8" w:color="2D53A6"/>
              <w:right w:val="single" w:sz="8" w:color="2D53A6"/>
            </w:tcBorders>
          </w:tcPr>
          <w:p>
            <w:pPr>
              <w:spacing w:after="0"/>
              <w:rPr>
                <w:sz w:val="21"/>
                <w:szCs w:val="21"/>
                <w:color w:val="auto"/>
              </w:rPr>
            </w:pPr>
          </w:p>
        </w:tc>
        <w:tc>
          <w:tcPr>
            <w:tcW w:w="1580" w:type="dxa"/>
            <w:vAlign w:val="bottom"/>
            <w:tcBorders>
              <w:bottom w:val="single" w:sz="8" w:color="2D53A6"/>
              <w:right w:val="single" w:sz="8" w:color="2D53A6"/>
            </w:tcBorders>
          </w:tcPr>
          <w:p>
            <w:pPr>
              <w:spacing w:after="0"/>
              <w:rPr>
                <w:sz w:val="21"/>
                <w:szCs w:val="21"/>
                <w:color w:val="auto"/>
              </w:rPr>
            </w:pPr>
          </w:p>
        </w:tc>
        <w:tc>
          <w:tcPr>
            <w:tcW w:w="1320" w:type="dxa"/>
            <w:vAlign w:val="bottom"/>
            <w:tcBorders>
              <w:bottom w:val="single" w:sz="8" w:color="2D53A6"/>
              <w:right w:val="single" w:sz="8" w:color="2D53A6"/>
            </w:tcBorders>
          </w:tcPr>
          <w:p>
            <w:pPr>
              <w:spacing w:after="0"/>
              <w:rPr>
                <w:sz w:val="21"/>
                <w:szCs w:val="21"/>
                <w:color w:val="auto"/>
              </w:rPr>
            </w:pPr>
          </w:p>
        </w:tc>
        <w:tc>
          <w:tcPr>
            <w:tcW w:w="1420" w:type="dxa"/>
            <w:vAlign w:val="bottom"/>
            <w:tcBorders>
              <w:bottom w:val="single" w:sz="8" w:color="2D53A6"/>
              <w:right w:val="single" w:sz="8" w:color="2D53A6"/>
            </w:tcBorders>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5300" w:type="dxa"/>
            <w:vAlign w:val="bottom"/>
            <w:tcBorders>
              <w:left w:val="single" w:sz="8" w:color="2D53A6"/>
              <w:right w:val="single" w:sz="8" w:color="2D53A6"/>
            </w:tcBorders>
            <w:shd w:val="clear" w:color="auto" w:fill="E6E6E6"/>
          </w:tcPr>
          <w:p>
            <w:pPr>
              <w:ind w:left="20"/>
              <w:spacing w:after="0" w:line="177" w:lineRule="exact"/>
              <w:rPr>
                <w:sz w:val="20"/>
                <w:szCs w:val="20"/>
                <w:color w:val="auto"/>
              </w:rPr>
            </w:pPr>
            <w:r>
              <w:rPr>
                <w:rFonts w:ascii="Arial" w:cs="Arial" w:eastAsia="Arial" w:hAnsi="Arial"/>
                <w:sz w:val="18"/>
                <w:szCs w:val="18"/>
                <w:color w:val="auto"/>
              </w:rPr>
              <w:t xml:space="preserve">Thrivent Financial for Lutherans </w:t>
            </w:r>
            <w:r>
              <w:rPr>
                <w:rFonts w:ascii="Arial" w:cs="Arial" w:eastAsia="Arial" w:hAnsi="Arial"/>
                <w:sz w:val="14"/>
                <w:szCs w:val="14"/>
                <w:color w:val="auto"/>
              </w:rPr>
              <w:t>(8)</w:t>
            </w:r>
          </w:p>
        </w:tc>
        <w:tc>
          <w:tcPr>
            <w:tcW w:w="1620" w:type="dxa"/>
            <w:vAlign w:val="bottom"/>
            <w:tcBorders>
              <w:right w:val="single" w:sz="8" w:color="2D53A6"/>
            </w:tcBorders>
            <w:shd w:val="clear" w:color="auto" w:fill="E6E6E6"/>
          </w:tcPr>
          <w:p>
            <w:pPr>
              <w:jc w:val="right"/>
              <w:ind w:right="50"/>
              <w:spacing w:after="0" w:line="177" w:lineRule="exact"/>
              <w:rPr>
                <w:sz w:val="20"/>
                <w:szCs w:val="20"/>
                <w:color w:val="auto"/>
              </w:rPr>
            </w:pPr>
            <w:r>
              <w:rPr>
                <w:rFonts w:ascii="Arial" w:cs="Arial" w:eastAsia="Arial" w:hAnsi="Arial"/>
                <w:sz w:val="18"/>
                <w:szCs w:val="18"/>
                <w:color w:val="auto"/>
              </w:rPr>
              <w:t>2,615,235</w:t>
            </w:r>
          </w:p>
        </w:tc>
        <w:tc>
          <w:tcPr>
            <w:tcW w:w="1580" w:type="dxa"/>
            <w:vAlign w:val="bottom"/>
            <w:tcBorders>
              <w:right w:val="single" w:sz="8" w:color="2D53A6"/>
            </w:tcBorders>
            <w:shd w:val="clear" w:color="auto" w:fill="E6E6E6"/>
          </w:tcPr>
          <w:p>
            <w:pPr>
              <w:jc w:val="right"/>
              <w:ind w:right="30"/>
              <w:spacing w:after="0" w:line="177"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2D53A6"/>
            </w:tcBorders>
            <w:shd w:val="clear" w:color="auto" w:fill="E6E6E6"/>
          </w:tcPr>
          <w:p>
            <w:pPr>
              <w:jc w:val="right"/>
              <w:ind w:right="30"/>
              <w:spacing w:after="0" w:line="177" w:lineRule="exact"/>
              <w:rPr>
                <w:sz w:val="20"/>
                <w:szCs w:val="20"/>
                <w:color w:val="auto"/>
              </w:rPr>
            </w:pPr>
            <w:r>
              <w:rPr>
                <w:rFonts w:ascii="Arial" w:cs="Arial" w:eastAsia="Arial" w:hAnsi="Arial"/>
                <w:sz w:val="18"/>
                <w:szCs w:val="18"/>
                <w:color w:val="auto"/>
              </w:rPr>
              <w:t>2,615,235</w:t>
            </w:r>
          </w:p>
        </w:tc>
        <w:tc>
          <w:tcPr>
            <w:tcW w:w="1420" w:type="dxa"/>
            <w:vAlign w:val="bottom"/>
            <w:tcBorders>
              <w:right w:val="single" w:sz="8" w:color="2D53A6"/>
            </w:tcBorders>
            <w:shd w:val="clear" w:color="auto" w:fill="E6E6E6"/>
          </w:tcPr>
          <w:p>
            <w:pPr>
              <w:jc w:val="right"/>
              <w:spacing w:after="0" w:line="177" w:lineRule="exact"/>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1"/>
        </w:trPr>
        <w:tc>
          <w:tcPr>
            <w:tcW w:w="5300" w:type="dxa"/>
            <w:vAlign w:val="bottom"/>
            <w:tcBorders>
              <w:left w:val="single" w:sz="8" w:color="2D53A6"/>
              <w:bottom w:val="single" w:sz="8" w:color="2D53A6"/>
              <w:right w:val="single" w:sz="8" w:color="2D53A6"/>
            </w:tcBorders>
            <w:shd w:val="clear" w:color="auto" w:fill="E6E6E6"/>
          </w:tcPr>
          <w:p>
            <w:pPr>
              <w:ind w:left="20"/>
              <w:spacing w:after="0"/>
              <w:rPr>
                <w:sz w:val="20"/>
                <w:szCs w:val="20"/>
                <w:color w:val="auto"/>
              </w:rPr>
            </w:pPr>
            <w:r>
              <w:rPr>
                <w:rFonts w:ascii="Arial" w:cs="Arial" w:eastAsia="Arial" w:hAnsi="Arial"/>
                <w:sz w:val="18"/>
                <w:szCs w:val="18"/>
                <w:color w:val="auto"/>
              </w:rPr>
              <w:t>901 Marquette Avenue, Suite 2500 Minneapolis, MN 55402</w:t>
            </w:r>
          </w:p>
        </w:tc>
        <w:tc>
          <w:tcPr>
            <w:tcW w:w="1620" w:type="dxa"/>
            <w:vAlign w:val="bottom"/>
            <w:tcBorders>
              <w:bottom w:val="single" w:sz="8" w:color="2D53A6"/>
              <w:right w:val="single" w:sz="8" w:color="2D53A6"/>
            </w:tcBorders>
            <w:shd w:val="clear" w:color="auto" w:fill="E6E6E6"/>
          </w:tcPr>
          <w:p>
            <w:pPr>
              <w:spacing w:after="0"/>
              <w:rPr>
                <w:sz w:val="19"/>
                <w:szCs w:val="19"/>
                <w:color w:val="auto"/>
              </w:rPr>
            </w:pPr>
          </w:p>
        </w:tc>
        <w:tc>
          <w:tcPr>
            <w:tcW w:w="1580" w:type="dxa"/>
            <w:vAlign w:val="bottom"/>
            <w:tcBorders>
              <w:bottom w:val="single" w:sz="8" w:color="2D53A6"/>
              <w:right w:val="single" w:sz="8" w:color="2D53A6"/>
            </w:tcBorders>
            <w:shd w:val="clear" w:color="auto" w:fill="E6E6E6"/>
          </w:tcPr>
          <w:p>
            <w:pPr>
              <w:spacing w:after="0"/>
              <w:rPr>
                <w:sz w:val="19"/>
                <w:szCs w:val="19"/>
                <w:color w:val="auto"/>
              </w:rPr>
            </w:pPr>
          </w:p>
        </w:tc>
        <w:tc>
          <w:tcPr>
            <w:tcW w:w="1320" w:type="dxa"/>
            <w:vAlign w:val="bottom"/>
            <w:tcBorders>
              <w:bottom w:val="single" w:sz="8" w:color="2D53A6"/>
              <w:right w:val="single" w:sz="8" w:color="2D53A6"/>
            </w:tcBorders>
            <w:shd w:val="clear" w:color="auto" w:fill="E6E6E6"/>
          </w:tcPr>
          <w:p>
            <w:pPr>
              <w:spacing w:after="0"/>
              <w:rPr>
                <w:sz w:val="19"/>
                <w:szCs w:val="19"/>
                <w:color w:val="auto"/>
              </w:rPr>
            </w:pPr>
          </w:p>
        </w:tc>
        <w:tc>
          <w:tcPr>
            <w:tcW w:w="1420" w:type="dxa"/>
            <w:vAlign w:val="bottom"/>
            <w:tcBorders>
              <w:bottom w:val="single" w:sz="8" w:color="2D53A6"/>
              <w:right w:val="single" w:sz="8" w:color="2D53A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300" w:type="dxa"/>
            <w:vAlign w:val="bottom"/>
            <w:tcBorders>
              <w:left w:val="single" w:sz="8" w:color="2D53A6"/>
              <w:bottom w:val="single" w:sz="8" w:color="2D53A6"/>
              <w:right w:val="single" w:sz="8" w:color="2D53A6"/>
            </w:tcBorders>
          </w:tcPr>
          <w:p>
            <w:pPr>
              <w:ind w:left="20"/>
              <w:spacing w:after="0" w:line="196" w:lineRule="exact"/>
              <w:rPr>
                <w:sz w:val="20"/>
                <w:szCs w:val="20"/>
                <w:color w:val="auto"/>
              </w:rPr>
            </w:pPr>
            <w:r>
              <w:rPr>
                <w:rFonts w:ascii="Arial" w:cs="Arial" w:eastAsia="Arial" w:hAnsi="Arial"/>
                <w:sz w:val="18"/>
                <w:szCs w:val="18"/>
                <w:color w:val="auto"/>
              </w:rPr>
              <w:t>William E. Bendush</w:t>
            </w:r>
          </w:p>
        </w:tc>
        <w:tc>
          <w:tcPr>
            <w:tcW w:w="1620" w:type="dxa"/>
            <w:vAlign w:val="bottom"/>
            <w:tcBorders>
              <w:bottom w:val="single" w:sz="8" w:color="2D53A6"/>
              <w:right w:val="single" w:sz="8" w:color="2D53A6"/>
            </w:tcBorders>
          </w:tcPr>
          <w:p>
            <w:pPr>
              <w:jc w:val="right"/>
              <w:ind w:right="50"/>
              <w:spacing w:after="0" w:line="196" w:lineRule="exact"/>
              <w:rPr>
                <w:sz w:val="20"/>
                <w:szCs w:val="20"/>
                <w:color w:val="auto"/>
              </w:rPr>
            </w:pPr>
            <w:r>
              <w:rPr>
                <w:rFonts w:ascii="Arial" w:cs="Arial" w:eastAsia="Arial" w:hAnsi="Arial"/>
                <w:sz w:val="18"/>
                <w:szCs w:val="18"/>
                <w:color w:val="auto"/>
              </w:rPr>
              <w:t>34,162</w:t>
            </w:r>
          </w:p>
        </w:tc>
        <w:tc>
          <w:tcPr>
            <w:tcW w:w="158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4,918</w:t>
            </w:r>
          </w:p>
        </w:tc>
        <w:tc>
          <w:tcPr>
            <w:tcW w:w="132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39,080</w:t>
            </w:r>
          </w:p>
        </w:tc>
        <w:tc>
          <w:tcPr>
            <w:tcW w:w="1420" w:type="dxa"/>
            <w:vAlign w:val="bottom"/>
            <w:tcBorders>
              <w:bottom w:val="single" w:sz="8" w:color="2D53A6"/>
              <w:right w:val="single" w:sz="8" w:color="2D53A6"/>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Borders>
              <w:left w:val="single" w:sz="8" w:color="2D53A6"/>
              <w:bottom w:val="single" w:sz="8" w:color="2D53A6"/>
              <w:right w:val="single" w:sz="8" w:color="2D53A6"/>
            </w:tcBorders>
            <w:shd w:val="clear" w:color="auto" w:fill="E6E6E6"/>
          </w:tcPr>
          <w:p>
            <w:pPr>
              <w:ind w:left="20"/>
              <w:spacing w:after="0" w:line="196" w:lineRule="exact"/>
              <w:rPr>
                <w:sz w:val="20"/>
                <w:szCs w:val="20"/>
                <w:color w:val="auto"/>
              </w:rPr>
            </w:pPr>
            <w:r>
              <w:rPr>
                <w:rFonts w:ascii="Arial" w:cs="Arial" w:eastAsia="Arial" w:hAnsi="Arial"/>
                <w:sz w:val="18"/>
                <w:szCs w:val="18"/>
                <w:color w:val="auto"/>
              </w:rPr>
              <w:t xml:space="preserve">Steven J. Bilodeau </w:t>
            </w:r>
            <w:r>
              <w:rPr>
                <w:rFonts w:ascii="Arial" w:cs="Arial" w:eastAsia="Arial" w:hAnsi="Arial"/>
                <w:sz w:val="14"/>
                <w:szCs w:val="14"/>
                <w:color w:val="auto"/>
              </w:rPr>
              <w:t>(9)</w:t>
            </w:r>
          </w:p>
        </w:tc>
        <w:tc>
          <w:tcPr>
            <w:tcW w:w="1620" w:type="dxa"/>
            <w:vAlign w:val="bottom"/>
            <w:tcBorders>
              <w:bottom w:val="single" w:sz="8" w:color="2D53A6"/>
              <w:right w:val="single" w:sz="8" w:color="2D53A6"/>
            </w:tcBorders>
            <w:shd w:val="clear" w:color="auto" w:fill="E6E6E6"/>
          </w:tcPr>
          <w:p>
            <w:pPr>
              <w:jc w:val="right"/>
              <w:ind w:right="50"/>
              <w:spacing w:after="0" w:line="196" w:lineRule="exact"/>
              <w:rPr>
                <w:sz w:val="20"/>
                <w:szCs w:val="20"/>
                <w:color w:val="auto"/>
              </w:rPr>
            </w:pPr>
            <w:r>
              <w:rPr>
                <w:rFonts w:ascii="Arial" w:cs="Arial" w:eastAsia="Arial" w:hAnsi="Arial"/>
                <w:sz w:val="18"/>
                <w:szCs w:val="18"/>
                <w:color w:val="auto"/>
              </w:rPr>
              <w:t>54,881</w:t>
            </w:r>
          </w:p>
        </w:tc>
        <w:tc>
          <w:tcPr>
            <w:tcW w:w="1580" w:type="dxa"/>
            <w:vAlign w:val="bottom"/>
            <w:tcBorders>
              <w:bottom w:val="single" w:sz="8" w:color="2D53A6"/>
              <w:right w:val="single" w:sz="8" w:color="2D53A6"/>
            </w:tcBorders>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4,918</w:t>
            </w:r>
          </w:p>
        </w:tc>
        <w:tc>
          <w:tcPr>
            <w:tcW w:w="1320" w:type="dxa"/>
            <w:vAlign w:val="bottom"/>
            <w:tcBorders>
              <w:bottom w:val="single" w:sz="8" w:color="2D53A6"/>
              <w:right w:val="single" w:sz="8" w:color="2D53A6"/>
            </w:tcBorders>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59,799</w:t>
            </w:r>
          </w:p>
        </w:tc>
        <w:tc>
          <w:tcPr>
            <w:tcW w:w="1420" w:type="dxa"/>
            <w:vAlign w:val="bottom"/>
            <w:tcBorders>
              <w:bottom w:val="single" w:sz="8" w:color="2D53A6"/>
              <w:right w:val="single" w:sz="8" w:color="2D53A6"/>
            </w:tcBorders>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Borders>
              <w:left w:val="single" w:sz="8" w:color="2D53A6"/>
              <w:bottom w:val="single" w:sz="8" w:color="2D53A6"/>
              <w:right w:val="single" w:sz="8" w:color="2D53A6"/>
            </w:tcBorders>
          </w:tcPr>
          <w:p>
            <w:pPr>
              <w:ind w:left="20"/>
              <w:spacing w:after="0" w:line="196" w:lineRule="exact"/>
              <w:rPr>
                <w:sz w:val="20"/>
                <w:szCs w:val="20"/>
                <w:color w:val="auto"/>
              </w:rPr>
            </w:pPr>
            <w:r>
              <w:rPr>
                <w:rFonts w:ascii="Arial" w:cs="Arial" w:eastAsia="Arial" w:hAnsi="Arial"/>
                <w:sz w:val="18"/>
                <w:szCs w:val="18"/>
                <w:color w:val="auto"/>
              </w:rPr>
              <w:t>Christopher G. Bohrson</w:t>
            </w:r>
          </w:p>
        </w:tc>
        <w:tc>
          <w:tcPr>
            <w:tcW w:w="1620" w:type="dxa"/>
            <w:vAlign w:val="bottom"/>
            <w:tcBorders>
              <w:bottom w:val="single" w:sz="8" w:color="2D53A6"/>
              <w:right w:val="single" w:sz="8" w:color="2D53A6"/>
            </w:tcBorders>
          </w:tcPr>
          <w:p>
            <w:pPr>
              <w:jc w:val="right"/>
              <w:ind w:right="50"/>
              <w:spacing w:after="0" w:line="196" w:lineRule="exact"/>
              <w:rPr>
                <w:sz w:val="20"/>
                <w:szCs w:val="20"/>
                <w:color w:val="auto"/>
              </w:rPr>
            </w:pPr>
            <w:r>
              <w:rPr>
                <w:rFonts w:ascii="Arial" w:cs="Arial" w:eastAsia="Arial" w:hAnsi="Arial"/>
                <w:sz w:val="18"/>
                <w:szCs w:val="18"/>
                <w:color w:val="auto"/>
              </w:rPr>
              <w:t>61,319</w:t>
            </w:r>
          </w:p>
        </w:tc>
        <w:tc>
          <w:tcPr>
            <w:tcW w:w="158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61,319</w:t>
            </w:r>
          </w:p>
        </w:tc>
        <w:tc>
          <w:tcPr>
            <w:tcW w:w="1420" w:type="dxa"/>
            <w:vAlign w:val="bottom"/>
            <w:tcBorders>
              <w:bottom w:val="single" w:sz="8" w:color="2D53A6"/>
              <w:right w:val="single" w:sz="8" w:color="2D53A6"/>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Borders>
              <w:left w:val="single" w:sz="8" w:color="2D53A6"/>
              <w:bottom w:val="single" w:sz="8" w:color="2D53A6"/>
              <w:right w:val="single" w:sz="8" w:color="2D53A6"/>
            </w:tcBorders>
            <w:shd w:val="clear" w:color="auto" w:fill="E6E6E6"/>
          </w:tcPr>
          <w:p>
            <w:pPr>
              <w:ind w:left="20"/>
              <w:spacing w:after="0" w:line="196" w:lineRule="exact"/>
              <w:rPr>
                <w:sz w:val="20"/>
                <w:szCs w:val="20"/>
                <w:color w:val="auto"/>
              </w:rPr>
            </w:pPr>
            <w:r>
              <w:rPr>
                <w:rFonts w:ascii="Arial" w:cs="Arial" w:eastAsia="Arial" w:hAnsi="Arial"/>
                <w:sz w:val="18"/>
                <w:szCs w:val="18"/>
                <w:color w:val="auto"/>
              </w:rPr>
              <w:t xml:space="preserve">Andrew M. Caggia </w:t>
            </w:r>
            <w:r>
              <w:rPr>
                <w:rFonts w:ascii="Arial" w:cs="Arial" w:eastAsia="Arial" w:hAnsi="Arial"/>
                <w:sz w:val="14"/>
                <w:szCs w:val="14"/>
                <w:color w:val="auto"/>
              </w:rPr>
              <w:t>(10)</w:t>
            </w:r>
          </w:p>
        </w:tc>
        <w:tc>
          <w:tcPr>
            <w:tcW w:w="1620" w:type="dxa"/>
            <w:vAlign w:val="bottom"/>
            <w:tcBorders>
              <w:bottom w:val="single" w:sz="8" w:color="2D53A6"/>
              <w:right w:val="single" w:sz="8" w:color="2D53A6"/>
            </w:tcBorders>
            <w:shd w:val="clear" w:color="auto" w:fill="E6E6E6"/>
          </w:tcPr>
          <w:p>
            <w:pPr>
              <w:jc w:val="right"/>
              <w:ind w:right="50"/>
              <w:spacing w:after="0" w:line="196" w:lineRule="exact"/>
              <w:rPr>
                <w:sz w:val="20"/>
                <w:szCs w:val="20"/>
                <w:color w:val="auto"/>
              </w:rPr>
            </w:pPr>
            <w:r>
              <w:rPr>
                <w:rFonts w:ascii="Arial" w:cs="Arial" w:eastAsia="Arial" w:hAnsi="Arial"/>
                <w:sz w:val="18"/>
                <w:szCs w:val="18"/>
                <w:color w:val="auto"/>
              </w:rPr>
              <w:t>56,869</w:t>
            </w:r>
          </w:p>
        </w:tc>
        <w:tc>
          <w:tcPr>
            <w:tcW w:w="1580" w:type="dxa"/>
            <w:vAlign w:val="bottom"/>
            <w:tcBorders>
              <w:bottom w:val="single" w:sz="8" w:color="2D53A6"/>
              <w:right w:val="single" w:sz="8" w:color="2D53A6"/>
            </w:tcBorders>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4,918</w:t>
            </w:r>
          </w:p>
        </w:tc>
        <w:tc>
          <w:tcPr>
            <w:tcW w:w="1320" w:type="dxa"/>
            <w:vAlign w:val="bottom"/>
            <w:tcBorders>
              <w:bottom w:val="single" w:sz="8" w:color="2D53A6"/>
              <w:right w:val="single" w:sz="8" w:color="2D53A6"/>
            </w:tcBorders>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61,787</w:t>
            </w:r>
          </w:p>
        </w:tc>
        <w:tc>
          <w:tcPr>
            <w:tcW w:w="1420" w:type="dxa"/>
            <w:vAlign w:val="bottom"/>
            <w:tcBorders>
              <w:bottom w:val="single" w:sz="8" w:color="2D53A6"/>
              <w:right w:val="single" w:sz="8" w:color="2D53A6"/>
            </w:tcBorders>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Borders>
              <w:left w:val="single" w:sz="8" w:color="2D53A6"/>
              <w:bottom w:val="single" w:sz="8" w:color="2D53A6"/>
              <w:right w:val="single" w:sz="8" w:color="2D53A6"/>
            </w:tcBorders>
          </w:tcPr>
          <w:p>
            <w:pPr>
              <w:ind w:left="20"/>
              <w:spacing w:after="0" w:line="196" w:lineRule="exact"/>
              <w:rPr>
                <w:sz w:val="20"/>
                <w:szCs w:val="20"/>
                <w:color w:val="auto"/>
              </w:rPr>
            </w:pPr>
            <w:r>
              <w:rPr>
                <w:rFonts w:ascii="Arial" w:cs="Arial" w:eastAsia="Arial" w:hAnsi="Arial"/>
                <w:sz w:val="18"/>
                <w:szCs w:val="18"/>
                <w:color w:val="auto"/>
              </w:rPr>
              <w:t>James A. Donahue</w:t>
            </w:r>
          </w:p>
        </w:tc>
        <w:tc>
          <w:tcPr>
            <w:tcW w:w="1620" w:type="dxa"/>
            <w:vAlign w:val="bottom"/>
            <w:tcBorders>
              <w:bottom w:val="single" w:sz="8" w:color="2D53A6"/>
              <w:right w:val="single" w:sz="8" w:color="2D53A6"/>
            </w:tcBorders>
          </w:tcPr>
          <w:p>
            <w:pPr>
              <w:jc w:val="right"/>
              <w:ind w:right="50"/>
              <w:spacing w:after="0" w:line="196" w:lineRule="exact"/>
              <w:rPr>
                <w:sz w:val="20"/>
                <w:szCs w:val="20"/>
                <w:color w:val="auto"/>
              </w:rPr>
            </w:pPr>
            <w:r>
              <w:rPr>
                <w:rFonts w:ascii="Arial" w:cs="Arial" w:eastAsia="Arial" w:hAnsi="Arial"/>
                <w:sz w:val="18"/>
                <w:szCs w:val="18"/>
                <w:color w:val="auto"/>
              </w:rPr>
              <w:t>380,495</w:t>
            </w:r>
          </w:p>
        </w:tc>
        <w:tc>
          <w:tcPr>
            <w:tcW w:w="158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4,918</w:t>
            </w:r>
          </w:p>
        </w:tc>
        <w:tc>
          <w:tcPr>
            <w:tcW w:w="132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385,413</w:t>
            </w:r>
          </w:p>
        </w:tc>
        <w:tc>
          <w:tcPr>
            <w:tcW w:w="1420" w:type="dxa"/>
            <w:vAlign w:val="bottom"/>
            <w:tcBorders>
              <w:bottom w:val="single" w:sz="8" w:color="2D53A6"/>
              <w:right w:val="single" w:sz="8" w:color="2D53A6"/>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Borders>
              <w:left w:val="single" w:sz="8" w:color="2D53A6"/>
              <w:bottom w:val="single" w:sz="8" w:color="2D53A6"/>
              <w:right w:val="single" w:sz="8" w:color="2D53A6"/>
            </w:tcBorders>
            <w:shd w:val="clear" w:color="auto" w:fill="E6E6E6"/>
          </w:tcPr>
          <w:p>
            <w:pPr>
              <w:ind w:left="20"/>
              <w:spacing w:after="0" w:line="196" w:lineRule="exact"/>
              <w:rPr>
                <w:sz w:val="20"/>
                <w:szCs w:val="20"/>
                <w:color w:val="auto"/>
              </w:rPr>
            </w:pPr>
            <w:r>
              <w:rPr>
                <w:rFonts w:ascii="Arial" w:cs="Arial" w:eastAsia="Arial" w:hAnsi="Arial"/>
                <w:sz w:val="18"/>
                <w:szCs w:val="18"/>
                <w:color w:val="auto"/>
              </w:rPr>
              <w:t>Klaus Ilgenfritz</w:t>
            </w:r>
          </w:p>
        </w:tc>
        <w:tc>
          <w:tcPr>
            <w:tcW w:w="1620" w:type="dxa"/>
            <w:vAlign w:val="bottom"/>
            <w:tcBorders>
              <w:bottom w:val="single" w:sz="8" w:color="2D53A6"/>
              <w:right w:val="single" w:sz="8" w:color="2D53A6"/>
            </w:tcBorders>
            <w:shd w:val="clear" w:color="auto" w:fill="E6E6E6"/>
          </w:tcPr>
          <w:p>
            <w:pPr>
              <w:jc w:val="right"/>
              <w:ind w:right="50"/>
              <w:spacing w:after="0" w:line="196" w:lineRule="exact"/>
              <w:rPr>
                <w:sz w:val="20"/>
                <w:szCs w:val="20"/>
                <w:color w:val="auto"/>
              </w:rPr>
            </w:pPr>
            <w:r>
              <w:rPr>
                <w:rFonts w:ascii="Arial" w:cs="Arial" w:eastAsia="Arial" w:hAnsi="Arial"/>
                <w:sz w:val="18"/>
                <w:szCs w:val="18"/>
                <w:color w:val="auto"/>
              </w:rPr>
              <w:t>13,585</w:t>
            </w:r>
          </w:p>
        </w:tc>
        <w:tc>
          <w:tcPr>
            <w:tcW w:w="1580" w:type="dxa"/>
            <w:vAlign w:val="bottom"/>
            <w:tcBorders>
              <w:bottom w:val="single" w:sz="8" w:color="2D53A6"/>
              <w:right w:val="single" w:sz="8" w:color="2D53A6"/>
            </w:tcBorders>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2D53A6"/>
              <w:right w:val="single" w:sz="8" w:color="2D53A6"/>
            </w:tcBorders>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13,585</w:t>
            </w:r>
          </w:p>
        </w:tc>
        <w:tc>
          <w:tcPr>
            <w:tcW w:w="1420" w:type="dxa"/>
            <w:vAlign w:val="bottom"/>
            <w:tcBorders>
              <w:bottom w:val="single" w:sz="8" w:color="2D53A6"/>
              <w:right w:val="single" w:sz="8" w:color="2D53A6"/>
            </w:tcBorders>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Borders>
              <w:left w:val="single" w:sz="8" w:color="2D53A6"/>
              <w:bottom w:val="single" w:sz="8" w:color="2D53A6"/>
              <w:right w:val="single" w:sz="8" w:color="2D53A6"/>
            </w:tcBorders>
          </w:tcPr>
          <w:p>
            <w:pPr>
              <w:ind w:left="20"/>
              <w:spacing w:after="0" w:line="196" w:lineRule="exact"/>
              <w:rPr>
                <w:sz w:val="20"/>
                <w:szCs w:val="20"/>
                <w:color w:val="auto"/>
              </w:rPr>
            </w:pPr>
            <w:r>
              <w:rPr>
                <w:rFonts w:ascii="Arial" w:cs="Arial" w:eastAsia="Arial" w:hAnsi="Arial"/>
                <w:sz w:val="18"/>
                <w:szCs w:val="18"/>
                <w:color w:val="auto"/>
              </w:rPr>
              <w:t>Yon Y. Jorden</w:t>
            </w:r>
          </w:p>
        </w:tc>
        <w:tc>
          <w:tcPr>
            <w:tcW w:w="1620" w:type="dxa"/>
            <w:vAlign w:val="bottom"/>
            <w:tcBorders>
              <w:bottom w:val="single" w:sz="8" w:color="2D53A6"/>
              <w:right w:val="single" w:sz="8" w:color="2D53A6"/>
            </w:tcBorders>
          </w:tcPr>
          <w:p>
            <w:pPr>
              <w:jc w:val="right"/>
              <w:ind w:right="50"/>
              <w:spacing w:after="0" w:line="196" w:lineRule="exact"/>
              <w:rPr>
                <w:sz w:val="20"/>
                <w:szCs w:val="20"/>
                <w:color w:val="auto"/>
              </w:rPr>
            </w:pPr>
            <w:r>
              <w:rPr>
                <w:rFonts w:ascii="Arial" w:cs="Arial" w:eastAsia="Arial" w:hAnsi="Arial"/>
                <w:sz w:val="18"/>
                <w:szCs w:val="18"/>
                <w:color w:val="auto"/>
              </w:rPr>
              <w:t>16,473</w:t>
            </w:r>
          </w:p>
        </w:tc>
        <w:tc>
          <w:tcPr>
            <w:tcW w:w="158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4,918</w:t>
            </w:r>
          </w:p>
        </w:tc>
        <w:tc>
          <w:tcPr>
            <w:tcW w:w="132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21,391</w:t>
            </w:r>
          </w:p>
        </w:tc>
        <w:tc>
          <w:tcPr>
            <w:tcW w:w="1420" w:type="dxa"/>
            <w:vAlign w:val="bottom"/>
            <w:tcBorders>
              <w:bottom w:val="single" w:sz="8" w:color="2D53A6"/>
              <w:right w:val="single" w:sz="8" w:color="2D53A6"/>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Borders>
              <w:left w:val="single" w:sz="8" w:color="2D53A6"/>
              <w:bottom w:val="single" w:sz="8" w:color="2D53A6"/>
              <w:right w:val="single" w:sz="8" w:color="2D53A6"/>
            </w:tcBorders>
            <w:shd w:val="clear" w:color="auto" w:fill="E6E6E6"/>
          </w:tcPr>
          <w:p>
            <w:pPr>
              <w:ind w:left="20"/>
              <w:spacing w:after="0" w:line="196" w:lineRule="exact"/>
              <w:rPr>
                <w:sz w:val="20"/>
                <w:szCs w:val="20"/>
                <w:color w:val="auto"/>
              </w:rPr>
            </w:pPr>
            <w:r>
              <w:rPr>
                <w:rFonts w:ascii="Arial" w:cs="Arial" w:eastAsia="Arial" w:hAnsi="Arial"/>
                <w:sz w:val="18"/>
                <w:szCs w:val="18"/>
                <w:color w:val="auto"/>
              </w:rPr>
              <w:t>Jeffrey D. Jones</w:t>
            </w:r>
          </w:p>
        </w:tc>
        <w:tc>
          <w:tcPr>
            <w:tcW w:w="1620" w:type="dxa"/>
            <w:vAlign w:val="bottom"/>
            <w:tcBorders>
              <w:bottom w:val="single" w:sz="8" w:color="2D53A6"/>
              <w:right w:val="single" w:sz="8" w:color="2D53A6"/>
            </w:tcBorders>
            <w:shd w:val="clear" w:color="auto" w:fill="E6E6E6"/>
          </w:tcPr>
          <w:p>
            <w:pPr>
              <w:jc w:val="right"/>
              <w:ind w:right="50"/>
              <w:spacing w:after="0" w:line="196" w:lineRule="exact"/>
              <w:rPr>
                <w:sz w:val="20"/>
                <w:szCs w:val="20"/>
                <w:color w:val="auto"/>
              </w:rPr>
            </w:pPr>
            <w:r>
              <w:rPr>
                <w:rFonts w:ascii="Arial" w:cs="Arial" w:eastAsia="Arial" w:hAnsi="Arial"/>
                <w:sz w:val="18"/>
                <w:szCs w:val="18"/>
                <w:color w:val="auto"/>
              </w:rPr>
              <w:t>193,000</w:t>
            </w:r>
          </w:p>
        </w:tc>
        <w:tc>
          <w:tcPr>
            <w:tcW w:w="1580" w:type="dxa"/>
            <w:vAlign w:val="bottom"/>
            <w:tcBorders>
              <w:bottom w:val="single" w:sz="8" w:color="2D53A6"/>
              <w:right w:val="single" w:sz="8" w:color="2D53A6"/>
            </w:tcBorders>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2D53A6"/>
              <w:right w:val="single" w:sz="8" w:color="2D53A6"/>
            </w:tcBorders>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193,000</w:t>
            </w:r>
          </w:p>
        </w:tc>
        <w:tc>
          <w:tcPr>
            <w:tcW w:w="1420" w:type="dxa"/>
            <w:vAlign w:val="bottom"/>
            <w:tcBorders>
              <w:bottom w:val="single" w:sz="8" w:color="2D53A6"/>
              <w:right w:val="single" w:sz="8" w:color="2D53A6"/>
            </w:tcBorders>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Borders>
              <w:left w:val="single" w:sz="8" w:color="2D53A6"/>
              <w:bottom w:val="single" w:sz="8" w:color="2D53A6"/>
              <w:right w:val="single" w:sz="8" w:color="2D53A6"/>
            </w:tcBorders>
          </w:tcPr>
          <w:p>
            <w:pPr>
              <w:ind w:left="20"/>
              <w:spacing w:after="0" w:line="196" w:lineRule="exact"/>
              <w:rPr>
                <w:sz w:val="20"/>
                <w:szCs w:val="20"/>
                <w:color w:val="auto"/>
              </w:rPr>
            </w:pPr>
            <w:r>
              <w:rPr>
                <w:rFonts w:ascii="Arial" w:cs="Arial" w:eastAsia="Arial" w:hAnsi="Arial"/>
                <w:sz w:val="18"/>
                <w:szCs w:val="18"/>
                <w:color w:val="auto"/>
              </w:rPr>
              <w:t>Thomas D. Kampfer</w:t>
            </w:r>
          </w:p>
        </w:tc>
        <w:tc>
          <w:tcPr>
            <w:tcW w:w="1620" w:type="dxa"/>
            <w:vAlign w:val="bottom"/>
            <w:tcBorders>
              <w:bottom w:val="single" w:sz="8" w:color="2D53A6"/>
              <w:right w:val="single" w:sz="8" w:color="2D53A6"/>
            </w:tcBorders>
          </w:tcPr>
          <w:p>
            <w:pPr>
              <w:jc w:val="right"/>
              <w:ind w:right="50"/>
              <w:spacing w:after="0" w:line="196" w:lineRule="exact"/>
              <w:rPr>
                <w:sz w:val="20"/>
                <w:szCs w:val="20"/>
                <w:color w:val="auto"/>
              </w:rPr>
            </w:pPr>
            <w:r>
              <w:rPr>
                <w:rFonts w:ascii="Arial" w:cs="Arial" w:eastAsia="Arial" w:hAnsi="Arial"/>
                <w:sz w:val="18"/>
                <w:szCs w:val="18"/>
                <w:color w:val="auto"/>
              </w:rPr>
              <w:t>16,842</w:t>
            </w:r>
          </w:p>
        </w:tc>
        <w:tc>
          <w:tcPr>
            <w:tcW w:w="158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5,470</w:t>
            </w:r>
          </w:p>
        </w:tc>
        <w:tc>
          <w:tcPr>
            <w:tcW w:w="132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22,312</w:t>
            </w:r>
          </w:p>
        </w:tc>
        <w:tc>
          <w:tcPr>
            <w:tcW w:w="1420" w:type="dxa"/>
            <w:vAlign w:val="bottom"/>
            <w:tcBorders>
              <w:bottom w:val="single" w:sz="8" w:color="2D53A6"/>
              <w:right w:val="single" w:sz="8" w:color="2D53A6"/>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Borders>
              <w:left w:val="single" w:sz="8" w:color="2D53A6"/>
              <w:bottom w:val="single" w:sz="8" w:color="2D53A6"/>
              <w:right w:val="single" w:sz="8" w:color="2D53A6"/>
            </w:tcBorders>
            <w:shd w:val="clear" w:color="auto" w:fill="E6E6E6"/>
          </w:tcPr>
          <w:p>
            <w:pPr>
              <w:ind w:left="20"/>
              <w:spacing w:after="0" w:line="196" w:lineRule="exact"/>
              <w:rPr>
                <w:sz w:val="20"/>
                <w:szCs w:val="20"/>
                <w:color w:val="auto"/>
              </w:rPr>
            </w:pPr>
            <w:r>
              <w:rPr>
                <w:rFonts w:ascii="Arial" w:cs="Arial" w:eastAsia="Arial" w:hAnsi="Arial"/>
                <w:sz w:val="18"/>
                <w:szCs w:val="18"/>
                <w:color w:val="auto"/>
              </w:rPr>
              <w:t>Andreas W. Mattes</w:t>
            </w:r>
          </w:p>
        </w:tc>
        <w:tc>
          <w:tcPr>
            <w:tcW w:w="1620" w:type="dxa"/>
            <w:vAlign w:val="bottom"/>
            <w:tcBorders>
              <w:bottom w:val="single" w:sz="8" w:color="2D53A6"/>
              <w:right w:val="single" w:sz="8" w:color="2D53A6"/>
            </w:tcBorders>
            <w:shd w:val="clear" w:color="auto" w:fill="E6E6E6"/>
          </w:tcPr>
          <w:p>
            <w:pPr>
              <w:jc w:val="right"/>
              <w:ind w:right="50"/>
              <w:spacing w:after="0" w:line="196" w:lineRule="exact"/>
              <w:rPr>
                <w:sz w:val="20"/>
                <w:szCs w:val="20"/>
                <w:color w:val="auto"/>
              </w:rPr>
            </w:pPr>
            <w:r>
              <w:rPr>
                <w:rFonts w:ascii="Arial" w:cs="Arial" w:eastAsia="Arial" w:hAnsi="Arial"/>
                <w:sz w:val="18"/>
                <w:szCs w:val="18"/>
                <w:color w:val="auto"/>
              </w:rPr>
              <w:t>6,157</w:t>
            </w:r>
          </w:p>
        </w:tc>
        <w:tc>
          <w:tcPr>
            <w:tcW w:w="1580" w:type="dxa"/>
            <w:vAlign w:val="bottom"/>
            <w:tcBorders>
              <w:bottom w:val="single" w:sz="8" w:color="2D53A6"/>
              <w:right w:val="single" w:sz="8" w:color="2D53A6"/>
            </w:tcBorders>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4,918</w:t>
            </w:r>
          </w:p>
        </w:tc>
        <w:tc>
          <w:tcPr>
            <w:tcW w:w="1320" w:type="dxa"/>
            <w:vAlign w:val="bottom"/>
            <w:tcBorders>
              <w:bottom w:val="single" w:sz="8" w:color="2D53A6"/>
              <w:right w:val="single" w:sz="8" w:color="2D53A6"/>
            </w:tcBorders>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11,075</w:t>
            </w:r>
          </w:p>
        </w:tc>
        <w:tc>
          <w:tcPr>
            <w:tcW w:w="1420" w:type="dxa"/>
            <w:vAlign w:val="bottom"/>
            <w:tcBorders>
              <w:bottom w:val="single" w:sz="8" w:color="2D53A6"/>
              <w:right w:val="single" w:sz="8" w:color="2D53A6"/>
            </w:tcBorders>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Borders>
              <w:left w:val="single" w:sz="8" w:color="2D53A6"/>
              <w:bottom w:val="single" w:sz="8" w:color="2D53A6"/>
              <w:right w:val="single" w:sz="8" w:color="2D53A6"/>
            </w:tcBorders>
          </w:tcPr>
          <w:p>
            <w:pPr>
              <w:ind w:left="20"/>
              <w:spacing w:after="0" w:line="196" w:lineRule="exact"/>
              <w:rPr>
                <w:sz w:val="20"/>
                <w:szCs w:val="20"/>
                <w:color w:val="auto"/>
              </w:rPr>
            </w:pPr>
            <w:r>
              <w:rPr>
                <w:rFonts w:ascii="Arial" w:cs="Arial" w:eastAsia="Arial" w:hAnsi="Arial"/>
                <w:sz w:val="18"/>
                <w:szCs w:val="18"/>
                <w:color w:val="auto"/>
              </w:rPr>
              <w:t>Luis A. Müller</w:t>
            </w:r>
          </w:p>
        </w:tc>
        <w:tc>
          <w:tcPr>
            <w:tcW w:w="1620" w:type="dxa"/>
            <w:vAlign w:val="bottom"/>
            <w:tcBorders>
              <w:bottom w:val="single" w:sz="8" w:color="2D53A6"/>
              <w:right w:val="single" w:sz="8" w:color="2D53A6"/>
            </w:tcBorders>
          </w:tcPr>
          <w:p>
            <w:pPr>
              <w:jc w:val="right"/>
              <w:ind w:right="50"/>
              <w:spacing w:after="0" w:line="196" w:lineRule="exact"/>
              <w:rPr>
                <w:sz w:val="20"/>
                <w:szCs w:val="20"/>
                <w:color w:val="auto"/>
              </w:rPr>
            </w:pPr>
            <w:r>
              <w:rPr>
                <w:rFonts w:ascii="Arial" w:cs="Arial" w:eastAsia="Arial" w:hAnsi="Arial"/>
                <w:sz w:val="18"/>
                <w:szCs w:val="18"/>
                <w:color w:val="auto"/>
              </w:rPr>
              <w:t>430,621</w:t>
            </w:r>
          </w:p>
        </w:tc>
        <w:tc>
          <w:tcPr>
            <w:tcW w:w="158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430,621</w:t>
            </w:r>
          </w:p>
        </w:tc>
        <w:tc>
          <w:tcPr>
            <w:tcW w:w="1420" w:type="dxa"/>
            <w:vAlign w:val="bottom"/>
            <w:tcBorders>
              <w:bottom w:val="single" w:sz="8" w:color="2D53A6"/>
              <w:right w:val="single" w:sz="8" w:color="2D53A6"/>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Borders>
              <w:left w:val="single" w:sz="8" w:color="2D53A6"/>
              <w:bottom w:val="single" w:sz="8" w:color="2D53A6"/>
              <w:right w:val="single" w:sz="8" w:color="2D53A6"/>
            </w:tcBorders>
            <w:shd w:val="clear" w:color="auto" w:fill="E6E6E6"/>
          </w:tcPr>
          <w:p>
            <w:pPr>
              <w:ind w:left="20"/>
              <w:spacing w:after="0" w:line="196" w:lineRule="exact"/>
              <w:rPr>
                <w:sz w:val="20"/>
                <w:szCs w:val="20"/>
                <w:color w:val="auto"/>
              </w:rPr>
            </w:pPr>
            <w:r>
              <w:rPr>
                <w:rFonts w:ascii="Arial" w:cs="Arial" w:eastAsia="Arial" w:hAnsi="Arial"/>
                <w:sz w:val="18"/>
                <w:szCs w:val="18"/>
                <w:color w:val="auto"/>
              </w:rPr>
              <w:t>Karen M. Rapp</w:t>
            </w:r>
          </w:p>
        </w:tc>
        <w:tc>
          <w:tcPr>
            <w:tcW w:w="1620" w:type="dxa"/>
            <w:vAlign w:val="bottom"/>
            <w:tcBorders>
              <w:bottom w:val="single" w:sz="8" w:color="2D53A6"/>
              <w:right w:val="single" w:sz="8" w:color="2D53A6"/>
            </w:tcBorders>
            <w:shd w:val="clear" w:color="auto" w:fill="E6E6E6"/>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2D53A6"/>
              <w:right w:val="single" w:sz="8" w:color="2D53A6"/>
            </w:tcBorders>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5,053</w:t>
            </w:r>
          </w:p>
        </w:tc>
        <w:tc>
          <w:tcPr>
            <w:tcW w:w="1320" w:type="dxa"/>
            <w:vAlign w:val="bottom"/>
            <w:tcBorders>
              <w:bottom w:val="single" w:sz="8" w:color="2D53A6"/>
              <w:right w:val="single" w:sz="8" w:color="2D53A6"/>
            </w:tcBorders>
            <w:shd w:val="clear" w:color="auto" w:fill="E6E6E6"/>
          </w:tcPr>
          <w:p>
            <w:pPr>
              <w:jc w:val="right"/>
              <w:ind w:right="30"/>
              <w:spacing w:after="0" w:line="196" w:lineRule="exact"/>
              <w:rPr>
                <w:sz w:val="20"/>
                <w:szCs w:val="20"/>
                <w:color w:val="auto"/>
              </w:rPr>
            </w:pPr>
            <w:r>
              <w:rPr>
                <w:rFonts w:ascii="Arial" w:cs="Arial" w:eastAsia="Arial" w:hAnsi="Arial"/>
                <w:sz w:val="18"/>
                <w:szCs w:val="18"/>
                <w:color w:val="auto"/>
              </w:rPr>
              <w:t>5,053</w:t>
            </w:r>
          </w:p>
        </w:tc>
        <w:tc>
          <w:tcPr>
            <w:tcW w:w="1420" w:type="dxa"/>
            <w:vAlign w:val="bottom"/>
            <w:tcBorders>
              <w:bottom w:val="single" w:sz="8" w:color="2D53A6"/>
              <w:right w:val="single" w:sz="8" w:color="2D53A6"/>
            </w:tcBorders>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Borders>
              <w:left w:val="single" w:sz="8" w:color="2D53A6"/>
              <w:bottom w:val="single" w:sz="8" w:color="2D53A6"/>
              <w:right w:val="single" w:sz="8" w:color="2D53A6"/>
            </w:tcBorders>
          </w:tcPr>
          <w:p>
            <w:pPr>
              <w:ind w:left="20"/>
              <w:spacing w:after="0" w:line="196" w:lineRule="exact"/>
              <w:rPr>
                <w:sz w:val="20"/>
                <w:szCs w:val="20"/>
                <w:color w:val="auto"/>
              </w:rPr>
            </w:pPr>
            <w:r>
              <w:rPr>
                <w:rFonts w:ascii="Arial" w:cs="Arial" w:eastAsia="Arial" w:hAnsi="Arial"/>
                <w:sz w:val="18"/>
                <w:szCs w:val="18"/>
                <w:color w:val="auto"/>
              </w:rPr>
              <w:t xml:space="preserve">Nina L. Richardson </w:t>
            </w:r>
            <w:r>
              <w:rPr>
                <w:rFonts w:ascii="Arial" w:cs="Arial" w:eastAsia="Arial" w:hAnsi="Arial"/>
                <w:sz w:val="14"/>
                <w:szCs w:val="14"/>
                <w:color w:val="auto"/>
              </w:rPr>
              <w:t>(11)</w:t>
            </w:r>
          </w:p>
        </w:tc>
        <w:tc>
          <w:tcPr>
            <w:tcW w:w="1620" w:type="dxa"/>
            <w:vAlign w:val="bottom"/>
            <w:tcBorders>
              <w:bottom w:val="single" w:sz="8" w:color="2D53A6"/>
              <w:right w:val="single" w:sz="8" w:color="2D53A6"/>
            </w:tcBorders>
          </w:tcPr>
          <w:p>
            <w:pPr>
              <w:jc w:val="right"/>
              <w:ind w:right="50"/>
              <w:spacing w:after="0" w:line="196" w:lineRule="exact"/>
              <w:rPr>
                <w:sz w:val="20"/>
                <w:szCs w:val="20"/>
                <w:color w:val="auto"/>
              </w:rPr>
            </w:pPr>
            <w:r>
              <w:rPr>
                <w:rFonts w:ascii="Arial" w:cs="Arial" w:eastAsia="Arial" w:hAnsi="Arial"/>
                <w:sz w:val="18"/>
                <w:szCs w:val="18"/>
                <w:color w:val="auto"/>
              </w:rPr>
              <w:t>23,395</w:t>
            </w:r>
          </w:p>
        </w:tc>
        <w:tc>
          <w:tcPr>
            <w:tcW w:w="158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4,918</w:t>
            </w:r>
          </w:p>
        </w:tc>
        <w:tc>
          <w:tcPr>
            <w:tcW w:w="1320" w:type="dxa"/>
            <w:vAlign w:val="bottom"/>
            <w:tcBorders>
              <w:bottom w:val="single" w:sz="8" w:color="2D53A6"/>
              <w:right w:val="single" w:sz="8" w:color="2D53A6"/>
            </w:tcBorders>
          </w:tcPr>
          <w:p>
            <w:pPr>
              <w:jc w:val="right"/>
              <w:ind w:right="30"/>
              <w:spacing w:after="0" w:line="196" w:lineRule="exact"/>
              <w:rPr>
                <w:sz w:val="20"/>
                <w:szCs w:val="20"/>
                <w:color w:val="auto"/>
              </w:rPr>
            </w:pPr>
            <w:r>
              <w:rPr>
                <w:rFonts w:ascii="Arial" w:cs="Arial" w:eastAsia="Arial" w:hAnsi="Arial"/>
                <w:sz w:val="18"/>
                <w:szCs w:val="18"/>
                <w:color w:val="auto"/>
              </w:rPr>
              <w:t>28,313</w:t>
            </w:r>
          </w:p>
        </w:tc>
        <w:tc>
          <w:tcPr>
            <w:tcW w:w="1420" w:type="dxa"/>
            <w:vAlign w:val="bottom"/>
            <w:tcBorders>
              <w:bottom w:val="single" w:sz="8" w:color="2D53A6"/>
              <w:right w:val="single" w:sz="8" w:color="2D53A6"/>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300" w:type="dxa"/>
            <w:vAlign w:val="bottom"/>
            <w:tcBorders>
              <w:left w:val="single" w:sz="8" w:color="2D53A6"/>
              <w:right w:val="single" w:sz="8" w:color="2D53A6"/>
            </w:tcBorders>
            <w:shd w:val="clear" w:color="auto" w:fill="E6E6E6"/>
          </w:tcPr>
          <w:p>
            <w:pPr>
              <w:ind w:left="20"/>
              <w:spacing w:after="0" w:line="177" w:lineRule="exact"/>
              <w:rPr>
                <w:sz w:val="20"/>
                <w:szCs w:val="20"/>
                <w:color w:val="auto"/>
              </w:rPr>
            </w:pPr>
            <w:r>
              <w:rPr>
                <w:rFonts w:ascii="Arial" w:cs="Arial" w:eastAsia="Arial" w:hAnsi="Arial"/>
                <w:sz w:val="18"/>
                <w:szCs w:val="18"/>
                <w:color w:val="auto"/>
              </w:rPr>
              <w:t>All directors and executive officers</w:t>
            </w:r>
          </w:p>
        </w:tc>
        <w:tc>
          <w:tcPr>
            <w:tcW w:w="1620" w:type="dxa"/>
            <w:vAlign w:val="bottom"/>
            <w:tcBorders>
              <w:right w:val="single" w:sz="8" w:color="2D53A6"/>
            </w:tcBorders>
            <w:shd w:val="clear" w:color="auto" w:fill="E6E6E6"/>
          </w:tcPr>
          <w:p>
            <w:pPr>
              <w:spacing w:after="0"/>
              <w:rPr>
                <w:sz w:val="15"/>
                <w:szCs w:val="15"/>
                <w:color w:val="auto"/>
              </w:rPr>
            </w:pPr>
          </w:p>
        </w:tc>
        <w:tc>
          <w:tcPr>
            <w:tcW w:w="1580" w:type="dxa"/>
            <w:vAlign w:val="bottom"/>
            <w:tcBorders>
              <w:right w:val="single" w:sz="8" w:color="2D53A6"/>
            </w:tcBorders>
            <w:shd w:val="clear" w:color="auto" w:fill="E6E6E6"/>
          </w:tcPr>
          <w:p>
            <w:pPr>
              <w:spacing w:after="0"/>
              <w:rPr>
                <w:sz w:val="15"/>
                <w:szCs w:val="15"/>
                <w:color w:val="auto"/>
              </w:rPr>
            </w:pPr>
          </w:p>
        </w:tc>
        <w:tc>
          <w:tcPr>
            <w:tcW w:w="1320" w:type="dxa"/>
            <w:vAlign w:val="bottom"/>
            <w:tcBorders>
              <w:right w:val="single" w:sz="8" w:color="2D53A6"/>
            </w:tcBorders>
            <w:shd w:val="clear" w:color="auto" w:fill="E6E6E6"/>
          </w:tcPr>
          <w:p>
            <w:pPr>
              <w:spacing w:after="0"/>
              <w:rPr>
                <w:sz w:val="15"/>
                <w:szCs w:val="15"/>
                <w:color w:val="auto"/>
              </w:rPr>
            </w:pPr>
          </w:p>
        </w:tc>
        <w:tc>
          <w:tcPr>
            <w:tcW w:w="1420" w:type="dxa"/>
            <w:vAlign w:val="bottom"/>
            <w:tcBorders>
              <w:right w:val="single" w:sz="8" w:color="2D53A6"/>
            </w:tcBorders>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300" w:type="dxa"/>
            <w:vAlign w:val="bottom"/>
            <w:tcBorders>
              <w:left w:val="single" w:sz="8" w:color="2D53A6"/>
              <w:bottom w:val="single" w:sz="8" w:color="2D53A6"/>
              <w:right w:val="single" w:sz="8" w:color="2D53A6"/>
            </w:tcBorders>
            <w:shd w:val="clear" w:color="auto" w:fill="E6E6E6"/>
          </w:tcPr>
          <w:p>
            <w:pPr>
              <w:ind w:left="20"/>
              <w:spacing w:after="0"/>
              <w:rPr>
                <w:sz w:val="20"/>
                <w:szCs w:val="20"/>
                <w:color w:val="auto"/>
              </w:rPr>
            </w:pPr>
            <w:r>
              <w:rPr>
                <w:rFonts w:ascii="Arial" w:cs="Arial" w:eastAsia="Arial" w:hAnsi="Arial"/>
                <w:sz w:val="18"/>
                <w:szCs w:val="18"/>
                <w:color w:val="auto"/>
              </w:rPr>
              <w:t>as a group (13 persons)</w:t>
            </w:r>
          </w:p>
        </w:tc>
        <w:tc>
          <w:tcPr>
            <w:tcW w:w="1620" w:type="dxa"/>
            <w:vAlign w:val="bottom"/>
            <w:tcBorders>
              <w:bottom w:val="single" w:sz="8" w:color="2D53A6"/>
              <w:right w:val="single" w:sz="8" w:color="2D53A6"/>
            </w:tcBorders>
            <w:shd w:val="clear" w:color="auto" w:fill="E6E6E6"/>
          </w:tcPr>
          <w:p>
            <w:pPr>
              <w:jc w:val="right"/>
              <w:ind w:right="50"/>
              <w:spacing w:after="0"/>
              <w:rPr>
                <w:sz w:val="20"/>
                <w:szCs w:val="20"/>
                <w:color w:val="auto"/>
              </w:rPr>
            </w:pPr>
            <w:r>
              <w:rPr>
                <w:rFonts w:ascii="Arial" w:cs="Arial" w:eastAsia="Arial" w:hAnsi="Arial"/>
                <w:sz w:val="18"/>
                <w:szCs w:val="18"/>
                <w:color w:val="auto"/>
              </w:rPr>
              <w:t>1,287,799</w:t>
            </w:r>
          </w:p>
        </w:tc>
        <w:tc>
          <w:tcPr>
            <w:tcW w:w="1580" w:type="dxa"/>
            <w:vAlign w:val="bottom"/>
            <w:tcBorders>
              <w:bottom w:val="single" w:sz="8" w:color="2D53A6"/>
              <w:right w:val="single" w:sz="8" w:color="2D53A6"/>
            </w:tcBorders>
            <w:shd w:val="clear" w:color="auto" w:fill="E6E6E6"/>
          </w:tcPr>
          <w:p>
            <w:pPr>
              <w:jc w:val="right"/>
              <w:ind w:right="30"/>
              <w:spacing w:after="0"/>
              <w:rPr>
                <w:sz w:val="20"/>
                <w:szCs w:val="20"/>
                <w:color w:val="auto"/>
              </w:rPr>
            </w:pPr>
            <w:r>
              <w:rPr>
                <w:rFonts w:ascii="Arial" w:cs="Arial" w:eastAsia="Arial" w:hAnsi="Arial"/>
                <w:sz w:val="18"/>
                <w:szCs w:val="18"/>
                <w:color w:val="auto"/>
              </w:rPr>
              <w:t>44,949</w:t>
            </w:r>
          </w:p>
        </w:tc>
        <w:tc>
          <w:tcPr>
            <w:tcW w:w="1320" w:type="dxa"/>
            <w:vAlign w:val="bottom"/>
            <w:tcBorders>
              <w:bottom w:val="single" w:sz="8" w:color="2D53A6"/>
              <w:right w:val="single" w:sz="8" w:color="2D53A6"/>
            </w:tcBorders>
            <w:shd w:val="clear" w:color="auto" w:fill="E6E6E6"/>
          </w:tcPr>
          <w:p>
            <w:pPr>
              <w:jc w:val="right"/>
              <w:ind w:right="30"/>
              <w:spacing w:after="0"/>
              <w:rPr>
                <w:sz w:val="20"/>
                <w:szCs w:val="20"/>
                <w:color w:val="auto"/>
              </w:rPr>
            </w:pPr>
            <w:r>
              <w:rPr>
                <w:rFonts w:ascii="Arial" w:cs="Arial" w:eastAsia="Arial" w:hAnsi="Arial"/>
                <w:sz w:val="18"/>
                <w:szCs w:val="18"/>
                <w:color w:val="auto"/>
              </w:rPr>
              <w:t>1,332,748</w:t>
            </w:r>
          </w:p>
        </w:tc>
        <w:tc>
          <w:tcPr>
            <w:tcW w:w="14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 Less than 1%</w:t>
      </w:r>
    </w:p>
    <w:p>
      <w:pPr>
        <w:spacing w:after="0" w:line="15" w:lineRule="exact"/>
        <w:rPr>
          <w:sz w:val="20"/>
          <w:szCs w:val="20"/>
          <w:color w:val="auto"/>
        </w:rPr>
      </w:pPr>
    </w:p>
    <w:p>
      <w:pPr>
        <w:ind w:left="340" w:right="100" w:hanging="332"/>
        <w:spacing w:after="0" w:line="242"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Shares issuable upon exercise of stock options and restricted stock units and performance stock units held by directors and executive officers that were exercisable or will otherwise vest on or within 60 days of March 21, 2025. For employees, restricted stock units and performance stock units issue for a net number of shares to satisfy payment of the statutory tax withholding requirements to be paid by us on behalf of such employees and, as a result, the actual number of shares received after taxes will be fewer.</w:t>
      </w:r>
    </w:p>
    <w:p>
      <w:pPr>
        <w:spacing w:after="0" w:line="160" w:lineRule="exact"/>
        <w:rPr>
          <w:rFonts w:ascii="Arial" w:cs="Arial" w:eastAsia="Arial" w:hAnsi="Arial"/>
          <w:sz w:val="14"/>
          <w:szCs w:val="14"/>
          <w:color w:val="auto"/>
        </w:rPr>
      </w:pPr>
    </w:p>
    <w:p>
      <w:pPr>
        <w:ind w:left="340" w:right="140" w:hanging="332"/>
        <w:spacing w:after="0" w:line="241"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Computed on the basis of 46,540,036 shares of Cohu common stock outstanding as of March 21, 2025, plus, with respect to each person holding options and restricted stock units and performance stock units that were exercisable or will otherwise vest on or within 60 days of March 21, 2025, the number of shares of Cohu common stock issuable upon exercise or vesting thereof.</w:t>
      </w:r>
    </w:p>
    <w:p>
      <w:pPr>
        <w:spacing w:after="0" w:line="1" w:lineRule="exact"/>
        <w:rPr>
          <w:rFonts w:ascii="Arial" w:cs="Arial" w:eastAsia="Arial" w:hAnsi="Arial"/>
          <w:sz w:val="14"/>
          <w:szCs w:val="14"/>
          <w:color w:val="auto"/>
        </w:rPr>
      </w:pPr>
    </w:p>
    <w:p>
      <w:pPr>
        <w:ind w:left="340" w:right="340" w:hanging="332"/>
        <w:spacing w:after="0" w:line="241"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According to Schedule 13G/A filed with the SEC on January 22, 2024, BlackRock, Inc. reported that its affiliated companies collectively had sole voting and dispositive power with respect to 7,357,923 and 7,478,150 shares, respectively, and no shared voting or dispositive power with respect to these shares.</w:t>
      </w:r>
    </w:p>
    <w:p>
      <w:pPr>
        <w:ind w:left="340" w:right="140" w:hanging="332"/>
        <w:spacing w:after="0" w:line="264"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According to Schedule 13G filed with the Securities SEC on February 13, 2024, The Vanguard Group reported that it had sole dispositive power with respect to 4,091,933 shares, no sole voting power, and shared voting and dispositive power with respect to 31,175 and 73,689 shares, respectively.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0" w:lineRule="exact"/>
        <w:rPr>
          <w:sz w:val="20"/>
          <w:szCs w:val="20"/>
          <w:color w:val="auto"/>
        </w:rPr>
      </w:pPr>
    </w:p>
    <w:p>
      <w:pPr>
        <w:ind w:left="340" w:hanging="332"/>
        <w:spacing w:after="0" w:line="25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According to Schedule 13G filed with the Securities SEC on November 6, 2024, Victory Capital Management Inc. reported that it had sole voting and dispositive power with respect to 3,334,003 and 3,355,391 shares, respectively, and no shared voting or dispositive power with respect to these shares.</w:t>
      </w:r>
    </w:p>
    <w:p>
      <w:pPr>
        <w:spacing w:after="0" w:line="1" w:lineRule="exact"/>
        <w:rPr>
          <w:rFonts w:ascii="Arial" w:cs="Arial" w:eastAsia="Arial" w:hAnsi="Arial"/>
          <w:sz w:val="14"/>
          <w:szCs w:val="14"/>
          <w:color w:val="auto"/>
        </w:rPr>
      </w:pPr>
    </w:p>
    <w:p>
      <w:pPr>
        <w:ind w:left="340" w:right="60" w:hanging="332"/>
        <w:spacing w:after="0" w:line="24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According to Schedule 13G/A filed with the SEC on February 9, 2024, Dimensional Fund Advisors LP reported that it had sole voting and dispositive power with respect to 3,006,603 and 3,064,076 shares, respectively, and no shared voting or dispositive power with respect to these shares.</w:t>
      </w:r>
    </w:p>
    <w:p>
      <w:pPr>
        <w:ind w:left="340" w:right="220" w:hanging="332"/>
        <w:spacing w:after="0" w:line="24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According to Schedule 13G filed with the SEC on January 30, 2024, Franklin Mutual Advisers, LLC reported that it had sole voting and dispositive power with respect to 2,630,340 and 2,782,581 shares, respectively, and no shared voting or dispositive power with respect to these shares.</w:t>
      </w:r>
    </w:p>
    <w:p>
      <w:pPr>
        <w:ind w:left="340" w:right="60" w:hanging="332"/>
        <w:spacing w:after="0" w:line="24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According to Schedule 13G filed with the Securities SEC on February 10, 2025, Thrivent Financial for Lutherans reported that it had sole dispositive and voting power with respect to 12,654 shares, and shared voting and dispositive power with respect to 2,602,581 shares.</w:t>
      </w: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Beneficially owned common stock includes 28,480 deferred stock unit awards issued pursuant to the 2005 Plan.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Beneficially owned common stock includes 41,473 deferred stock unit awards issued pursuant to the 2005 Plan.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Beneficially owned common stock includes 11,992 deferred stock unit awards issued pursuant to the 2005 Plan.</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36"/>
          <w:szCs w:val="36"/>
          <w:b w:val="1"/>
          <w:bCs w:val="1"/>
          <w:color w:val="FFFFFF"/>
        </w:rPr>
        <w:t>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274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Corporate Governance</w:t>
      </w:r>
    </w:p>
    <w:p>
      <w:pPr>
        <w:spacing w:after="0" w:line="218"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 xml:space="preserve">Cohu has adopted Corporate Governance Guidelines (the “Guidelines”) that outline, among other matters, the role and functions of the Board, the responsibilities of various Board committees, selection of new directors and director independence. The Guidelines are available, along with other important corporate governance materials, on our website at </w:t>
      </w:r>
      <w:r>
        <w:rPr>
          <w:rFonts w:ascii="Arial" w:cs="Arial" w:eastAsia="Arial" w:hAnsi="Arial"/>
          <w:sz w:val="18"/>
          <w:szCs w:val="18"/>
          <w:u w:val="single" w:color="auto"/>
          <w:color w:val="auto"/>
        </w:rPr>
        <w:t>https://cohu.gcs-web.com/corporate-governance/documents-charters</w:t>
      </w:r>
      <w:r>
        <w:rPr>
          <w:rFonts w:ascii="Arial" w:cs="Arial" w:eastAsia="Arial" w:hAnsi="Arial"/>
          <w:sz w:val="18"/>
          <w:szCs w:val="18"/>
          <w:color w:val="auto"/>
        </w:rPr>
        <w:t>. As the operation of the Board is a dynamic process, the Board regularly reviews new or changing legal and regulatory requirements, evolving best practices and other developments, and the Board may modify the Guidelines, as appropriate, from time to time.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2D53A6"/>
        </w:rPr>
        <w:t>Code of Business Conduct and Ethics</w:t>
      </w:r>
    </w:p>
    <w:p>
      <w:pPr>
        <w:spacing w:after="0" w:line="19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Cohu has adopted a Code of Business Conduct and Ethics (the “Code of Conduct”). The Code of Conduct applies to all of Cohu’s directors and employees including its principal executive officer, principal financial officer and principal accounting officer. The Code of Conduct, among other things, is designed to promote: honest and ethical conduct, including the ethical handling of actual or apparent conflicts of interest between personal and professional relationships; full, fair, accurate, timely and understandable disclosure in reports and documents that Cohu files with, or submits to, the SEC and in other public communications made by Cohu; compliance with applicable governmental laws, rules and regulations; the prompt internal reporting of violations of the Code of Conduct to an appropriate person or persons identified in the Code of Conduct; and accountability for adherence to the Code of Conduct.</w:t>
      </w:r>
    </w:p>
    <w:p>
      <w:pPr>
        <w:spacing w:after="0" w:line="17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 xml:space="preserve">The Code of Conduct is available at </w:t>
      </w:r>
      <w:r>
        <w:rPr>
          <w:rFonts w:ascii="Arial" w:cs="Arial" w:eastAsia="Arial" w:hAnsi="Arial"/>
          <w:sz w:val="18"/>
          <w:szCs w:val="18"/>
          <w:u w:val="single" w:color="auto"/>
          <w:color w:val="auto"/>
        </w:rPr>
        <w:t>https://cohu.gcs-web.com/corporate-governance/documents-charters</w:t>
      </w:r>
      <w:r>
        <w:rPr>
          <w:rFonts w:ascii="Arial" w:cs="Arial" w:eastAsia="Arial" w:hAnsi="Arial"/>
          <w:sz w:val="18"/>
          <w:szCs w:val="18"/>
          <w:color w:val="auto"/>
        </w:rPr>
        <w:t>. We intend to make all required disclosures concerning any amendments to, or waivers from, our Code of Conduct on our website within four business days.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2D53A6"/>
        </w:rPr>
        <w:t>Insider Trading Policy</w:t>
      </w:r>
    </w:p>
    <w:p>
      <w:pPr>
        <w:spacing w:after="0" w:line="19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have adopted an Insider Trading Policy governing transactions in our securities by our directors, officers and employees that we believe is reasonably designed to promote compliance with insider trading laws, rules and regulations and Nasdaq listing standards. A copy of the Insider Trading Policy is filed as Exhibit 19 to our Annual Report on Form 10-K for the year ended December 28, 2024.</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Board of Directors and Committees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2D53A6"/>
        </w:rPr>
        <w:t>Director Independence</w:t>
      </w:r>
    </w:p>
    <w:p>
      <w:pPr>
        <w:spacing w:after="0" w:line="191"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Cohu has adopted standards for director independence pursuant to Nasdaq listing standards and SEC rules, and previously adopted more restrictive guidelines (than set forth by Nasdaq) on the independence of former employee directors and the amounts of compensation for professional services that can be accepted. An “independent director” means a person other than an officer or employee of Cohu or its subsidiaries, or any other individual having a relationship that, in the opinion of the Board, would interfere with the exercise of independent judgment in carrying out the responsibilities of a director.</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Board has considered relationships, transactions and/or arrangements with each of the directors and has determined that seven (7) of its directors (78% of the Board), namely, Mses. Jorden, Rapp and Richardson and Messrs. Bendush, Bilodeau, Caggia and Mattes, are independent directors in accordance with Nasdaq listing standards and SEC rules. In addition, the Board has also considered and determined that:</w:t>
      </w:r>
    </w:p>
    <w:p>
      <w:pPr>
        <w:spacing w:after="0" w:line="160" w:lineRule="exact"/>
        <w:rPr>
          <w:sz w:val="20"/>
          <w:szCs w:val="20"/>
          <w:color w:val="auto"/>
        </w:rPr>
      </w:pPr>
    </w:p>
    <w:p>
      <w:pPr>
        <w:ind w:left="980" w:right="660" w:hanging="324"/>
        <w:spacing w:after="0" w:line="220" w:lineRule="auto"/>
        <w:tabs>
          <w:tab w:leader="none" w:pos="980" w:val="left"/>
        </w:tabs>
        <w:numPr>
          <w:ilvl w:val="0"/>
          <w:numId w:val="18"/>
        </w:numPr>
        <w:rPr>
          <w:rFonts w:ascii="Times New Roman" w:cs="Times New Roman" w:eastAsia="Times New Roman" w:hAnsi="Times New Roman"/>
          <w:sz w:val="22"/>
          <w:szCs w:val="22"/>
          <w:color w:val="auto"/>
        </w:rPr>
      </w:pPr>
      <w:r>
        <w:rPr>
          <w:rFonts w:ascii="Arial" w:cs="Arial" w:eastAsia="Arial" w:hAnsi="Arial"/>
          <w:sz w:val="18"/>
          <w:szCs w:val="18"/>
          <w:color w:val="auto"/>
        </w:rPr>
        <w:t>All directors who serve on the Audit, Compensation and Nominating and Governance committees are independent under applicable Nasdaq listing standards and SEC rules.</w:t>
      </w:r>
    </w:p>
    <w:p>
      <w:pPr>
        <w:spacing w:after="0" w:line="1" w:lineRule="exact"/>
        <w:rPr>
          <w:rFonts w:ascii="Times New Roman" w:cs="Times New Roman" w:eastAsia="Times New Roman" w:hAnsi="Times New Roman"/>
          <w:sz w:val="22"/>
          <w:szCs w:val="22"/>
          <w:color w:val="auto"/>
        </w:rPr>
      </w:pPr>
    </w:p>
    <w:p>
      <w:pPr>
        <w:ind w:left="980" w:right="20" w:hanging="324"/>
        <w:spacing w:after="0" w:line="211" w:lineRule="auto"/>
        <w:tabs>
          <w:tab w:leader="none" w:pos="980" w:val="left"/>
        </w:tabs>
        <w:numPr>
          <w:ilvl w:val="0"/>
          <w:numId w:val="18"/>
        </w:numPr>
        <w:rPr>
          <w:rFonts w:ascii="Times New Roman" w:cs="Times New Roman" w:eastAsia="Times New Roman" w:hAnsi="Times New Roman"/>
          <w:sz w:val="22"/>
          <w:szCs w:val="22"/>
          <w:color w:val="auto"/>
        </w:rPr>
      </w:pPr>
      <w:r>
        <w:rPr>
          <w:rFonts w:ascii="Arial" w:cs="Arial" w:eastAsia="Arial" w:hAnsi="Arial"/>
          <w:sz w:val="18"/>
          <w:szCs w:val="18"/>
          <w:color w:val="auto"/>
        </w:rPr>
        <w:t>All members of the Audit and Compensation Committees meet the additional independence requirements as required by Nasdaq listing standards and SEC rules.</w:t>
      </w:r>
    </w:p>
    <w:p>
      <w:pPr>
        <w:ind w:left="980" w:right="60" w:hanging="324"/>
        <w:spacing w:after="0" w:line="220" w:lineRule="auto"/>
        <w:tabs>
          <w:tab w:leader="none" w:pos="980" w:val="left"/>
        </w:tabs>
        <w:numPr>
          <w:ilvl w:val="0"/>
          <w:numId w:val="18"/>
        </w:numPr>
        <w:rPr>
          <w:rFonts w:ascii="Times New Roman" w:cs="Times New Roman" w:eastAsia="Times New Roman" w:hAnsi="Times New Roman"/>
          <w:sz w:val="22"/>
          <w:szCs w:val="22"/>
          <w:color w:val="auto"/>
        </w:rPr>
      </w:pPr>
      <w:r>
        <w:rPr>
          <w:rFonts w:ascii="Arial" w:cs="Arial" w:eastAsia="Arial" w:hAnsi="Arial"/>
          <w:sz w:val="18"/>
          <w:szCs w:val="18"/>
          <w:color w:val="auto"/>
        </w:rPr>
        <w:t>All members of the Audit Committee, currently Mses. Jorden and Rapp and Mr. Bendush qualify as an “audit committee financial expert” under SEC guidelines.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2D53A6"/>
        </w:rPr>
        <w:t>Board Structure and Committee Composition</w:t>
      </w:r>
    </w:p>
    <w:p>
      <w:pPr>
        <w:spacing w:after="0" w:line="19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 xml:space="preserve">As of the date of this proxy statement, our Board has nine (9) directors. Our Board has three standing committees: (1) Audit, (2) Compensation and (3) Nominating and Governance. The membership and function of each of the committees are described below, and we believe that the composition of these committees meets the criteria for independence, and the functioning of these committees complies with the applicable requirements of the Sarbanes-Oxley Act of 2002, as amended, the current rules of the Nasdaq Global Select Market and applicable SEC rules and regulations. Each committee operates under a written charter adopted by the Board, and each of the charters are available on Cohu’s website at </w:t>
      </w:r>
      <w:r>
        <w:rPr>
          <w:rFonts w:ascii="Arial" w:cs="Arial" w:eastAsia="Arial" w:hAnsi="Arial"/>
          <w:sz w:val="18"/>
          <w:szCs w:val="18"/>
          <w:u w:val="single" w:color="auto"/>
          <w:color w:val="auto"/>
        </w:rPr>
        <w:t>https://cohu.gcs-web.com/corporate-governance/documents-charters</w:t>
      </w:r>
      <w:r>
        <w:rPr>
          <w:rFonts w:ascii="Arial" w:cs="Arial" w:eastAsia="Arial" w:hAnsi="Arial"/>
          <w:sz w:val="18"/>
          <w:szCs w:val="18"/>
          <w:color w:val="auto"/>
        </w:rPr>
        <w:t>.</w:t>
      </w:r>
    </w:p>
    <w:p>
      <w:pPr>
        <w:spacing w:after="0" w:line="16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During fiscal year 2024, the Board held thirteen (13) meetings. Each director attended at least 75% of all Board and applicable committee meetings on which they served and held during the period for which they were directors or committee members. Although we do not have a formal policy regarding attendance by members of our Board at annual meetings of stockholders, we encourage all of our directors to attend annual meetings of Cohu stockholders and all of our continuing directors at that time virtually attended the 2024 Annual Meeting.</w:t>
      </w:r>
    </w:p>
    <w:p>
      <w:pPr>
        <w:spacing w:after="0" w:line="16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Cohu’s Corporate Governance Guidelines set forth the circumstances in which the Nominating and Governance Committee shall nominate an independent director to serve as the Lead Independent Director, the selection of whom shall be subject to approval by a vote of the majority of the independent directors.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breaks down committee membership, as of the date of this proxy statement, for each committee and each director.</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00" w:type="dxa"/>
            <w:vAlign w:val="bottom"/>
            <w:tcBorders>
              <w:right w:val="single" w:sz="8" w:color="2D53A6"/>
            </w:tcBorders>
            <w:vMerge w:val="restart"/>
            <w:shd w:val="clear" w:color="auto" w:fill="2D53A6"/>
          </w:tcPr>
          <w:p>
            <w:pPr>
              <w:ind w:left="40"/>
              <w:spacing w:after="0"/>
              <w:rPr>
                <w:sz w:val="20"/>
                <w:szCs w:val="20"/>
                <w:color w:val="auto"/>
              </w:rPr>
            </w:pPr>
            <w:r>
              <w:rPr>
                <w:rFonts w:ascii="Arial" w:cs="Arial" w:eastAsia="Arial" w:hAnsi="Arial"/>
                <w:sz w:val="20"/>
                <w:szCs w:val="20"/>
                <w:b w:val="1"/>
                <w:bCs w:val="1"/>
                <w:color w:val="FFFFFF"/>
              </w:rPr>
              <w:t>Name of Director</w:t>
            </w:r>
          </w:p>
        </w:tc>
        <w:tc>
          <w:tcPr>
            <w:tcW w:w="22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20"/>
                <w:szCs w:val="20"/>
                <w:b w:val="1"/>
                <w:bCs w:val="1"/>
                <w:color w:val="FFFFFF"/>
                <w:w w:val="97"/>
              </w:rPr>
              <w:t>Audit</w:t>
            </w:r>
          </w:p>
        </w:tc>
        <w:tc>
          <w:tcPr>
            <w:tcW w:w="22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Compensation</w:t>
            </w:r>
          </w:p>
        </w:tc>
        <w:tc>
          <w:tcPr>
            <w:tcW w:w="2180" w:type="dxa"/>
            <w:vAlign w:val="bottom"/>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Nominating and</w:t>
            </w:r>
          </w:p>
        </w:tc>
        <w:tc>
          <w:tcPr>
            <w:tcW w:w="0" w:type="dxa"/>
            <w:vAlign w:val="bottom"/>
          </w:tcPr>
          <w:p>
            <w:pPr>
              <w:spacing w:after="0"/>
              <w:rPr>
                <w:sz w:val="1"/>
                <w:szCs w:val="1"/>
                <w:color w:val="auto"/>
              </w:rPr>
            </w:pPr>
          </w:p>
        </w:tc>
      </w:tr>
      <w:tr>
        <w:trPr>
          <w:trHeight w:val="165"/>
        </w:trPr>
        <w:tc>
          <w:tcPr>
            <w:tcW w:w="4500" w:type="dxa"/>
            <w:vAlign w:val="bottom"/>
            <w:tcBorders>
              <w:right w:val="single" w:sz="8" w:color="2D53A6"/>
            </w:tcBorders>
            <w:vMerge w:val="continue"/>
            <w:shd w:val="clear" w:color="auto" w:fill="2D53A6"/>
          </w:tcPr>
          <w:p>
            <w:pPr>
              <w:spacing w:after="0"/>
              <w:rPr>
                <w:sz w:val="14"/>
                <w:szCs w:val="14"/>
                <w:color w:val="auto"/>
              </w:rPr>
            </w:pPr>
          </w:p>
        </w:tc>
        <w:tc>
          <w:tcPr>
            <w:tcW w:w="2280" w:type="dxa"/>
            <w:vAlign w:val="bottom"/>
            <w:tcBorders>
              <w:right w:val="single" w:sz="8" w:color="2D53A6"/>
            </w:tcBorders>
            <w:vMerge w:val="continue"/>
            <w:shd w:val="clear" w:color="auto" w:fill="2D53A6"/>
          </w:tcPr>
          <w:p>
            <w:pPr>
              <w:spacing w:after="0"/>
              <w:rPr>
                <w:sz w:val="14"/>
                <w:szCs w:val="14"/>
                <w:color w:val="auto"/>
              </w:rPr>
            </w:pPr>
          </w:p>
        </w:tc>
        <w:tc>
          <w:tcPr>
            <w:tcW w:w="2280" w:type="dxa"/>
            <w:vAlign w:val="bottom"/>
            <w:tcBorders>
              <w:right w:val="single" w:sz="8" w:color="2D53A6"/>
            </w:tcBorders>
            <w:vMerge w:val="continue"/>
            <w:shd w:val="clear" w:color="auto" w:fill="2D53A6"/>
          </w:tcPr>
          <w:p>
            <w:pPr>
              <w:spacing w:after="0"/>
              <w:rPr>
                <w:sz w:val="14"/>
                <w:szCs w:val="14"/>
                <w:color w:val="auto"/>
              </w:rPr>
            </w:pPr>
          </w:p>
        </w:tc>
        <w:tc>
          <w:tcPr>
            <w:tcW w:w="2180" w:type="dxa"/>
            <w:vAlign w:val="bottom"/>
            <w:vMerge w:val="restart"/>
            <w:shd w:val="clear" w:color="auto" w:fill="2D53A6"/>
          </w:tcPr>
          <w:p>
            <w:pPr>
              <w:jc w:val="center"/>
              <w:spacing w:after="0"/>
              <w:rPr>
                <w:sz w:val="20"/>
                <w:szCs w:val="20"/>
                <w:color w:val="auto"/>
              </w:rPr>
            </w:pPr>
            <w:r>
              <w:rPr>
                <w:rFonts w:ascii="Arial" w:cs="Arial" w:eastAsia="Arial" w:hAnsi="Arial"/>
                <w:sz w:val="20"/>
                <w:szCs w:val="20"/>
                <w:b w:val="1"/>
                <w:bCs w:val="1"/>
                <w:color w:val="FFFFFF"/>
                <w:w w:val="98"/>
              </w:rPr>
              <w:t>Governance</w:t>
            </w:r>
          </w:p>
        </w:tc>
        <w:tc>
          <w:tcPr>
            <w:tcW w:w="0" w:type="dxa"/>
            <w:vAlign w:val="bottom"/>
          </w:tcPr>
          <w:p>
            <w:pPr>
              <w:spacing w:after="0"/>
              <w:rPr>
                <w:sz w:val="1"/>
                <w:szCs w:val="1"/>
                <w:color w:val="auto"/>
              </w:rPr>
            </w:pPr>
          </w:p>
        </w:tc>
      </w:tr>
      <w:tr>
        <w:trPr>
          <w:trHeight w:val="115"/>
        </w:trPr>
        <w:tc>
          <w:tcPr>
            <w:tcW w:w="4500" w:type="dxa"/>
            <w:vAlign w:val="bottom"/>
            <w:tcBorders>
              <w:right w:val="single" w:sz="8" w:color="2D53A6"/>
            </w:tcBorders>
            <w:shd w:val="clear" w:color="auto" w:fill="2D53A6"/>
          </w:tcPr>
          <w:p>
            <w:pPr>
              <w:spacing w:after="0"/>
              <w:rPr>
                <w:sz w:val="10"/>
                <w:szCs w:val="10"/>
                <w:color w:val="auto"/>
              </w:rPr>
            </w:pPr>
          </w:p>
        </w:tc>
        <w:tc>
          <w:tcPr>
            <w:tcW w:w="2280" w:type="dxa"/>
            <w:vAlign w:val="bottom"/>
            <w:tcBorders>
              <w:right w:val="single" w:sz="8" w:color="2D53A6"/>
            </w:tcBorders>
            <w:shd w:val="clear" w:color="auto" w:fill="2D53A6"/>
          </w:tcPr>
          <w:p>
            <w:pPr>
              <w:spacing w:after="0"/>
              <w:rPr>
                <w:sz w:val="10"/>
                <w:szCs w:val="10"/>
                <w:color w:val="auto"/>
              </w:rPr>
            </w:pPr>
          </w:p>
        </w:tc>
        <w:tc>
          <w:tcPr>
            <w:tcW w:w="2280" w:type="dxa"/>
            <w:vAlign w:val="bottom"/>
            <w:tcBorders>
              <w:right w:val="single" w:sz="8" w:color="2D53A6"/>
            </w:tcBorders>
            <w:shd w:val="clear" w:color="auto" w:fill="2D53A6"/>
          </w:tcPr>
          <w:p>
            <w:pPr>
              <w:spacing w:after="0"/>
              <w:rPr>
                <w:sz w:val="10"/>
                <w:szCs w:val="10"/>
                <w:color w:val="auto"/>
              </w:rPr>
            </w:pPr>
          </w:p>
        </w:tc>
        <w:tc>
          <w:tcPr>
            <w:tcW w:w="2180" w:type="dxa"/>
            <w:vAlign w:val="bottom"/>
            <w:vMerge w:val="continue"/>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4500" w:type="dxa"/>
            <w:vAlign w:val="bottom"/>
            <w:tcBorders>
              <w:bottom w:val="single" w:sz="8" w:color="2D53A6"/>
              <w:right w:val="single" w:sz="8" w:color="2D53A6"/>
            </w:tcBorders>
          </w:tcPr>
          <w:p>
            <w:pPr>
              <w:ind w:left="40"/>
              <w:spacing w:after="0"/>
              <w:rPr>
                <w:sz w:val="20"/>
                <w:szCs w:val="20"/>
                <w:color w:val="auto"/>
              </w:rPr>
            </w:pPr>
            <w:r>
              <w:rPr>
                <w:rFonts w:ascii="Arial" w:cs="Arial" w:eastAsia="Arial" w:hAnsi="Arial"/>
                <w:sz w:val="18"/>
                <w:szCs w:val="18"/>
                <w:b w:val="1"/>
                <w:bCs w:val="1"/>
                <w:i w:val="1"/>
                <w:iCs w:val="1"/>
                <w:color w:val="auto"/>
              </w:rPr>
              <w:t>Independent Directors:</w:t>
            </w:r>
          </w:p>
        </w:tc>
        <w:tc>
          <w:tcPr>
            <w:tcW w:w="2280" w:type="dxa"/>
            <w:vAlign w:val="bottom"/>
            <w:tcBorders>
              <w:bottom w:val="single" w:sz="8" w:color="2D53A6"/>
              <w:right w:val="single" w:sz="8" w:color="2D53A6"/>
            </w:tcBorders>
          </w:tcPr>
          <w:p>
            <w:pPr>
              <w:spacing w:after="0"/>
              <w:rPr>
                <w:sz w:val="24"/>
                <w:szCs w:val="24"/>
                <w:color w:val="auto"/>
              </w:rPr>
            </w:pPr>
          </w:p>
        </w:tc>
        <w:tc>
          <w:tcPr>
            <w:tcW w:w="2280" w:type="dxa"/>
            <w:vAlign w:val="bottom"/>
            <w:tcBorders>
              <w:bottom w:val="single" w:sz="8" w:color="2D53A6"/>
              <w:right w:val="single" w:sz="8" w:color="2D53A6"/>
            </w:tcBorders>
          </w:tcPr>
          <w:p>
            <w:pPr>
              <w:spacing w:after="0"/>
              <w:rPr>
                <w:sz w:val="24"/>
                <w:szCs w:val="24"/>
                <w:color w:val="auto"/>
              </w:rPr>
            </w:pPr>
          </w:p>
        </w:tc>
        <w:tc>
          <w:tcPr>
            <w:tcW w:w="2180" w:type="dxa"/>
            <w:vAlign w:val="bottom"/>
            <w:tcBorders>
              <w:bottom w:val="single" w:sz="8" w:color="2D53A6"/>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5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William E. Bendush</w:t>
            </w:r>
          </w:p>
        </w:tc>
        <w:tc>
          <w:tcPr>
            <w:tcW w:w="228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7"/>
              </w:rPr>
              <w:t>Chair</w:t>
            </w:r>
          </w:p>
        </w:tc>
        <w:tc>
          <w:tcPr>
            <w:tcW w:w="2280" w:type="dxa"/>
            <w:vAlign w:val="bottom"/>
            <w:tcBorders>
              <w:bottom w:val="single" w:sz="8" w:color="E6E6E6"/>
              <w:right w:val="single" w:sz="8" w:color="2D53A6"/>
            </w:tcBorders>
            <w:shd w:val="clear" w:color="auto" w:fill="E6E6E6"/>
          </w:tcPr>
          <w:p>
            <w:pPr>
              <w:spacing w:after="0"/>
              <w:rPr>
                <w:sz w:val="24"/>
                <w:szCs w:val="24"/>
                <w:color w:val="auto"/>
              </w:rPr>
            </w:pPr>
          </w:p>
        </w:tc>
        <w:tc>
          <w:tcPr>
            <w:tcW w:w="21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450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 xml:space="preserve">Steven J. Bilodeau </w:t>
            </w:r>
            <w:r>
              <w:rPr>
                <w:rFonts w:ascii="Arial" w:cs="Arial" w:eastAsia="Arial" w:hAnsi="Arial"/>
                <w:sz w:val="14"/>
                <w:szCs w:val="14"/>
                <w:color w:val="auto"/>
              </w:rPr>
              <w:t>(1)</w:t>
            </w:r>
          </w:p>
        </w:tc>
        <w:tc>
          <w:tcPr>
            <w:tcW w:w="2280" w:type="dxa"/>
            <w:vAlign w:val="bottom"/>
            <w:tcBorders>
              <w:top w:val="single" w:sz="8" w:color="2D53A6"/>
              <w:right w:val="single" w:sz="8" w:color="2D53A6"/>
            </w:tcBorders>
          </w:tcPr>
          <w:p>
            <w:pPr>
              <w:spacing w:after="0"/>
              <w:rPr>
                <w:sz w:val="22"/>
                <w:szCs w:val="22"/>
                <w:color w:val="auto"/>
              </w:rPr>
            </w:pPr>
          </w:p>
        </w:tc>
        <w:tc>
          <w:tcPr>
            <w:tcW w:w="228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7"/>
              </w:rPr>
              <w:t>Chair</w:t>
            </w:r>
          </w:p>
        </w:tc>
        <w:tc>
          <w:tcPr>
            <w:tcW w:w="218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500" w:type="dxa"/>
            <w:vAlign w:val="bottom"/>
            <w:tcBorders>
              <w:bottom w:val="single" w:sz="8" w:color="2D53A6"/>
              <w:right w:val="single" w:sz="8" w:color="2D53A6"/>
            </w:tcBorders>
          </w:tcPr>
          <w:p>
            <w:pPr>
              <w:spacing w:after="0"/>
              <w:rPr>
                <w:sz w:val="2"/>
                <w:szCs w:val="2"/>
                <w:color w:val="auto"/>
              </w:rPr>
            </w:pPr>
          </w:p>
        </w:tc>
        <w:tc>
          <w:tcPr>
            <w:tcW w:w="2280" w:type="dxa"/>
            <w:vAlign w:val="bottom"/>
            <w:tcBorders>
              <w:bottom w:val="single" w:sz="8" w:color="2D53A6"/>
              <w:right w:val="single" w:sz="8" w:color="2D53A6"/>
            </w:tcBorders>
          </w:tcPr>
          <w:p>
            <w:pPr>
              <w:spacing w:after="0"/>
              <w:rPr>
                <w:sz w:val="2"/>
                <w:szCs w:val="2"/>
                <w:color w:val="auto"/>
              </w:rPr>
            </w:pPr>
          </w:p>
        </w:tc>
        <w:tc>
          <w:tcPr>
            <w:tcW w:w="2280" w:type="dxa"/>
            <w:vAlign w:val="bottom"/>
            <w:tcBorders>
              <w:bottom w:val="single" w:sz="8" w:color="2D53A6"/>
              <w:right w:val="single" w:sz="8" w:color="2D53A6"/>
            </w:tcBorders>
          </w:tcPr>
          <w:p>
            <w:pPr>
              <w:spacing w:after="0"/>
              <w:rPr>
                <w:sz w:val="2"/>
                <w:szCs w:val="2"/>
                <w:color w:val="auto"/>
              </w:rPr>
            </w:pPr>
          </w:p>
        </w:tc>
        <w:tc>
          <w:tcPr>
            <w:tcW w:w="218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5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Andrew M. Caggia</w:t>
            </w:r>
          </w:p>
        </w:tc>
        <w:tc>
          <w:tcPr>
            <w:tcW w:w="2280" w:type="dxa"/>
            <w:vAlign w:val="bottom"/>
            <w:tcBorders>
              <w:bottom w:val="single" w:sz="8" w:color="E6E6E6"/>
              <w:right w:val="single" w:sz="8" w:color="2D53A6"/>
            </w:tcBorders>
            <w:shd w:val="clear" w:color="auto" w:fill="E6E6E6"/>
          </w:tcPr>
          <w:p>
            <w:pPr>
              <w:spacing w:after="0"/>
              <w:rPr>
                <w:sz w:val="24"/>
                <w:szCs w:val="24"/>
                <w:color w:val="auto"/>
              </w:rPr>
            </w:pPr>
          </w:p>
        </w:tc>
        <w:tc>
          <w:tcPr>
            <w:tcW w:w="2280" w:type="dxa"/>
            <w:vAlign w:val="bottom"/>
            <w:tcBorders>
              <w:bottom w:val="single" w:sz="8" w:color="E6E6E6"/>
              <w:right w:val="single" w:sz="8" w:color="2D53A6"/>
            </w:tcBorders>
            <w:shd w:val="clear" w:color="auto" w:fill="E6E6E6"/>
          </w:tcPr>
          <w:p>
            <w:pPr>
              <w:spacing w:after="0"/>
              <w:rPr>
                <w:sz w:val="24"/>
                <w:szCs w:val="24"/>
                <w:color w:val="auto"/>
              </w:rPr>
            </w:pPr>
          </w:p>
        </w:tc>
        <w:tc>
          <w:tcPr>
            <w:tcW w:w="21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Chair</w:t>
            </w:r>
          </w:p>
        </w:tc>
        <w:tc>
          <w:tcPr>
            <w:tcW w:w="0" w:type="dxa"/>
            <w:vAlign w:val="bottom"/>
          </w:tcPr>
          <w:p>
            <w:pPr>
              <w:spacing w:after="0"/>
              <w:rPr>
                <w:sz w:val="1"/>
                <w:szCs w:val="1"/>
                <w:color w:val="auto"/>
              </w:rPr>
            </w:pPr>
          </w:p>
        </w:tc>
      </w:tr>
      <w:tr>
        <w:trPr>
          <w:trHeight w:val="254"/>
        </w:trPr>
        <w:tc>
          <w:tcPr>
            <w:tcW w:w="450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Yon Y. Jorden</w:t>
            </w:r>
          </w:p>
        </w:tc>
        <w:tc>
          <w:tcPr>
            <w:tcW w:w="228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top w:val="single" w:sz="8" w:color="2D53A6"/>
              <w:right w:val="single" w:sz="8" w:color="2D53A6"/>
            </w:tcBorders>
          </w:tcPr>
          <w:p>
            <w:pPr>
              <w:spacing w:after="0"/>
              <w:rPr>
                <w:sz w:val="22"/>
                <w:szCs w:val="22"/>
                <w:color w:val="auto"/>
              </w:rPr>
            </w:pPr>
          </w:p>
        </w:tc>
        <w:tc>
          <w:tcPr>
            <w:tcW w:w="218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500" w:type="dxa"/>
            <w:vAlign w:val="bottom"/>
            <w:tcBorders>
              <w:bottom w:val="single" w:sz="8" w:color="2D53A6"/>
              <w:right w:val="single" w:sz="8" w:color="2D53A6"/>
            </w:tcBorders>
          </w:tcPr>
          <w:p>
            <w:pPr>
              <w:spacing w:after="0"/>
              <w:rPr>
                <w:sz w:val="2"/>
                <w:szCs w:val="2"/>
                <w:color w:val="auto"/>
              </w:rPr>
            </w:pPr>
          </w:p>
        </w:tc>
        <w:tc>
          <w:tcPr>
            <w:tcW w:w="2280" w:type="dxa"/>
            <w:vAlign w:val="bottom"/>
            <w:tcBorders>
              <w:bottom w:val="single" w:sz="8" w:color="2D53A6"/>
              <w:right w:val="single" w:sz="8" w:color="2D53A6"/>
            </w:tcBorders>
          </w:tcPr>
          <w:p>
            <w:pPr>
              <w:spacing w:after="0"/>
              <w:rPr>
                <w:sz w:val="2"/>
                <w:szCs w:val="2"/>
                <w:color w:val="auto"/>
              </w:rPr>
            </w:pPr>
          </w:p>
        </w:tc>
        <w:tc>
          <w:tcPr>
            <w:tcW w:w="2280" w:type="dxa"/>
            <w:vAlign w:val="bottom"/>
            <w:tcBorders>
              <w:bottom w:val="single" w:sz="8" w:color="2D53A6"/>
              <w:right w:val="single" w:sz="8" w:color="2D53A6"/>
            </w:tcBorders>
          </w:tcPr>
          <w:p>
            <w:pPr>
              <w:spacing w:after="0"/>
              <w:rPr>
                <w:sz w:val="2"/>
                <w:szCs w:val="2"/>
                <w:color w:val="auto"/>
              </w:rPr>
            </w:pPr>
          </w:p>
        </w:tc>
        <w:tc>
          <w:tcPr>
            <w:tcW w:w="218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5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Andreas W. Mattes</w:t>
            </w:r>
          </w:p>
        </w:tc>
        <w:tc>
          <w:tcPr>
            <w:tcW w:w="2280" w:type="dxa"/>
            <w:vAlign w:val="bottom"/>
            <w:tcBorders>
              <w:bottom w:val="single" w:sz="8" w:color="E6E6E6"/>
              <w:right w:val="single" w:sz="8" w:color="2D53A6"/>
            </w:tcBorders>
            <w:shd w:val="clear" w:color="auto" w:fill="E6E6E6"/>
          </w:tcPr>
          <w:p>
            <w:pPr>
              <w:spacing w:after="0"/>
              <w:rPr>
                <w:sz w:val="24"/>
                <w:szCs w:val="24"/>
                <w:color w:val="auto"/>
              </w:rPr>
            </w:pPr>
          </w:p>
        </w:tc>
        <w:tc>
          <w:tcPr>
            <w:tcW w:w="228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50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Karen M. Rapp</w:t>
            </w:r>
          </w:p>
        </w:tc>
        <w:tc>
          <w:tcPr>
            <w:tcW w:w="228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top w:val="single" w:sz="8" w:color="2D53A6"/>
              <w:right w:val="single" w:sz="8" w:color="2D53A6"/>
            </w:tcBorders>
          </w:tcPr>
          <w:p>
            <w:pPr>
              <w:spacing w:after="0"/>
              <w:rPr>
                <w:sz w:val="22"/>
                <w:szCs w:val="22"/>
                <w:color w:val="auto"/>
              </w:rPr>
            </w:pPr>
          </w:p>
        </w:tc>
        <w:tc>
          <w:tcPr>
            <w:tcW w:w="2180" w:type="dxa"/>
            <w:vAlign w:val="bottom"/>
            <w:tcBorders>
              <w:top w:val="single" w:sz="8" w:color="2D53A6"/>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500" w:type="dxa"/>
            <w:vAlign w:val="bottom"/>
            <w:tcBorders>
              <w:bottom w:val="single" w:sz="8" w:color="2D53A6"/>
              <w:right w:val="single" w:sz="8" w:color="2D53A6"/>
            </w:tcBorders>
          </w:tcPr>
          <w:p>
            <w:pPr>
              <w:spacing w:after="0"/>
              <w:rPr>
                <w:sz w:val="2"/>
                <w:szCs w:val="2"/>
                <w:color w:val="auto"/>
              </w:rPr>
            </w:pPr>
          </w:p>
        </w:tc>
        <w:tc>
          <w:tcPr>
            <w:tcW w:w="2280" w:type="dxa"/>
            <w:vAlign w:val="bottom"/>
            <w:tcBorders>
              <w:bottom w:val="single" w:sz="8" w:color="2D53A6"/>
              <w:right w:val="single" w:sz="8" w:color="2D53A6"/>
            </w:tcBorders>
          </w:tcPr>
          <w:p>
            <w:pPr>
              <w:spacing w:after="0"/>
              <w:rPr>
                <w:sz w:val="2"/>
                <w:szCs w:val="2"/>
                <w:color w:val="auto"/>
              </w:rPr>
            </w:pPr>
          </w:p>
        </w:tc>
        <w:tc>
          <w:tcPr>
            <w:tcW w:w="2280" w:type="dxa"/>
            <w:vAlign w:val="bottom"/>
            <w:tcBorders>
              <w:bottom w:val="single" w:sz="8" w:color="2D53A6"/>
              <w:right w:val="single" w:sz="8" w:color="2D53A6"/>
            </w:tcBorders>
          </w:tcPr>
          <w:p>
            <w:pPr>
              <w:spacing w:after="0"/>
              <w:rPr>
                <w:sz w:val="2"/>
                <w:szCs w:val="2"/>
                <w:color w:val="auto"/>
              </w:rPr>
            </w:pPr>
          </w:p>
        </w:tc>
        <w:tc>
          <w:tcPr>
            <w:tcW w:w="218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5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Nina L. Richardson</w:t>
            </w:r>
          </w:p>
        </w:tc>
        <w:tc>
          <w:tcPr>
            <w:tcW w:w="2280" w:type="dxa"/>
            <w:vAlign w:val="bottom"/>
            <w:tcBorders>
              <w:bottom w:val="single" w:sz="8" w:color="E6E6E6"/>
              <w:right w:val="single" w:sz="8" w:color="2D53A6"/>
            </w:tcBorders>
            <w:shd w:val="clear" w:color="auto" w:fill="E6E6E6"/>
          </w:tcPr>
          <w:p>
            <w:pPr>
              <w:spacing w:after="0"/>
              <w:rPr>
                <w:sz w:val="24"/>
                <w:szCs w:val="24"/>
                <w:color w:val="auto"/>
              </w:rPr>
            </w:pPr>
          </w:p>
        </w:tc>
        <w:tc>
          <w:tcPr>
            <w:tcW w:w="228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500" w:type="dxa"/>
            <w:vAlign w:val="bottom"/>
            <w:tcBorders>
              <w:top w:val="single" w:sz="8" w:color="2D53A6"/>
              <w:right w:val="single" w:sz="8" w:color="2D53A6"/>
            </w:tcBorders>
          </w:tcPr>
          <w:p>
            <w:pPr>
              <w:ind w:left="540"/>
              <w:spacing w:after="0"/>
              <w:rPr>
                <w:sz w:val="20"/>
                <w:szCs w:val="20"/>
                <w:color w:val="auto"/>
              </w:rPr>
            </w:pPr>
            <w:r>
              <w:rPr>
                <w:rFonts w:ascii="Arial" w:cs="Arial" w:eastAsia="Arial" w:hAnsi="Arial"/>
                <w:sz w:val="18"/>
                <w:szCs w:val="18"/>
                <w:color w:val="auto"/>
              </w:rPr>
              <w:t>Total committee size:</w:t>
            </w:r>
          </w:p>
        </w:tc>
        <w:tc>
          <w:tcPr>
            <w:tcW w:w="228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3</w:t>
            </w:r>
          </w:p>
        </w:tc>
        <w:tc>
          <w:tcPr>
            <w:tcW w:w="228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3</w:t>
            </w:r>
          </w:p>
        </w:tc>
        <w:tc>
          <w:tcPr>
            <w:tcW w:w="218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3"/>
        </w:trPr>
        <w:tc>
          <w:tcPr>
            <w:tcW w:w="4500" w:type="dxa"/>
            <w:vAlign w:val="bottom"/>
            <w:tcBorders>
              <w:bottom w:val="single" w:sz="8" w:color="2D53A6"/>
              <w:right w:val="single" w:sz="8" w:color="2D53A6"/>
            </w:tcBorders>
          </w:tcPr>
          <w:p>
            <w:pPr>
              <w:spacing w:after="0"/>
              <w:rPr>
                <w:sz w:val="2"/>
                <w:szCs w:val="2"/>
                <w:color w:val="auto"/>
              </w:rPr>
            </w:pPr>
          </w:p>
        </w:tc>
        <w:tc>
          <w:tcPr>
            <w:tcW w:w="2280" w:type="dxa"/>
            <w:vAlign w:val="bottom"/>
            <w:tcBorders>
              <w:bottom w:val="single" w:sz="8" w:color="2D53A6"/>
              <w:right w:val="single" w:sz="8" w:color="2D53A6"/>
            </w:tcBorders>
          </w:tcPr>
          <w:p>
            <w:pPr>
              <w:spacing w:after="0"/>
              <w:rPr>
                <w:sz w:val="2"/>
                <w:szCs w:val="2"/>
                <w:color w:val="auto"/>
              </w:rPr>
            </w:pPr>
          </w:p>
        </w:tc>
        <w:tc>
          <w:tcPr>
            <w:tcW w:w="2280" w:type="dxa"/>
            <w:vAlign w:val="bottom"/>
            <w:tcBorders>
              <w:bottom w:val="single" w:sz="8" w:color="2D53A6"/>
              <w:right w:val="single" w:sz="8" w:color="2D53A6"/>
            </w:tcBorders>
          </w:tcPr>
          <w:p>
            <w:pPr>
              <w:spacing w:after="0"/>
              <w:rPr>
                <w:sz w:val="2"/>
                <w:szCs w:val="2"/>
                <w:color w:val="auto"/>
              </w:rPr>
            </w:pPr>
          </w:p>
        </w:tc>
        <w:tc>
          <w:tcPr>
            <w:tcW w:w="218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500" w:type="dxa"/>
            <w:vAlign w:val="bottom"/>
            <w:tcBorders>
              <w:bottom w:val="single" w:sz="8" w:color="2D53A6"/>
              <w:right w:val="single" w:sz="8" w:color="2D53A6"/>
            </w:tcBorders>
            <w:shd w:val="clear" w:color="auto" w:fill="E6E6E6"/>
          </w:tcPr>
          <w:p>
            <w:pPr>
              <w:ind w:left="40"/>
              <w:spacing w:after="0"/>
              <w:rPr>
                <w:sz w:val="20"/>
                <w:szCs w:val="20"/>
                <w:color w:val="auto"/>
              </w:rPr>
            </w:pPr>
            <w:r>
              <w:rPr>
                <w:rFonts w:ascii="Arial" w:cs="Arial" w:eastAsia="Arial" w:hAnsi="Arial"/>
                <w:sz w:val="18"/>
                <w:szCs w:val="18"/>
                <w:b w:val="1"/>
                <w:bCs w:val="1"/>
                <w:i w:val="1"/>
                <w:iCs w:val="1"/>
                <w:color w:val="auto"/>
              </w:rPr>
              <w:t>Other Directors:</w:t>
            </w:r>
          </w:p>
        </w:tc>
        <w:tc>
          <w:tcPr>
            <w:tcW w:w="2280" w:type="dxa"/>
            <w:vAlign w:val="bottom"/>
            <w:tcBorders>
              <w:bottom w:val="single" w:sz="8" w:color="2D53A6"/>
              <w:right w:val="single" w:sz="8" w:color="2D53A6"/>
            </w:tcBorders>
            <w:shd w:val="clear" w:color="auto" w:fill="E6E6E6"/>
          </w:tcPr>
          <w:p>
            <w:pPr>
              <w:spacing w:after="0"/>
              <w:rPr>
                <w:sz w:val="23"/>
                <w:szCs w:val="23"/>
                <w:color w:val="auto"/>
              </w:rPr>
            </w:pPr>
          </w:p>
        </w:tc>
        <w:tc>
          <w:tcPr>
            <w:tcW w:w="2280" w:type="dxa"/>
            <w:vAlign w:val="bottom"/>
            <w:tcBorders>
              <w:bottom w:val="single" w:sz="8" w:color="2D53A6"/>
              <w:right w:val="single" w:sz="8" w:color="2D53A6"/>
            </w:tcBorders>
            <w:shd w:val="clear" w:color="auto" w:fill="E6E6E6"/>
          </w:tcPr>
          <w:p>
            <w:pPr>
              <w:spacing w:after="0"/>
              <w:rPr>
                <w:sz w:val="23"/>
                <w:szCs w:val="23"/>
                <w:color w:val="auto"/>
              </w:rPr>
            </w:pPr>
          </w:p>
        </w:tc>
        <w:tc>
          <w:tcPr>
            <w:tcW w:w="2180" w:type="dxa"/>
            <w:vAlign w:val="bottom"/>
            <w:tcBorders>
              <w:bottom w:val="single" w:sz="8" w:color="2D53A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450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James A. Donahue</w:t>
            </w:r>
          </w:p>
        </w:tc>
        <w:tc>
          <w:tcPr>
            <w:tcW w:w="2280" w:type="dxa"/>
            <w:vAlign w:val="bottom"/>
            <w:tcBorders>
              <w:right w:val="single" w:sz="8" w:color="2D53A6"/>
            </w:tcBorders>
          </w:tcPr>
          <w:p>
            <w:pPr>
              <w:spacing w:after="0"/>
              <w:rPr>
                <w:sz w:val="22"/>
                <w:szCs w:val="22"/>
                <w:color w:val="auto"/>
              </w:rPr>
            </w:pPr>
          </w:p>
        </w:tc>
        <w:tc>
          <w:tcPr>
            <w:tcW w:w="2280" w:type="dxa"/>
            <w:vAlign w:val="bottom"/>
            <w:tcBorders>
              <w:right w:val="single" w:sz="8" w:color="2D53A6"/>
            </w:tcBorders>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500" w:type="dxa"/>
            <w:vAlign w:val="bottom"/>
            <w:tcBorders>
              <w:bottom w:val="single" w:sz="8" w:color="2D53A6"/>
              <w:right w:val="single" w:sz="8" w:color="2D53A6"/>
            </w:tcBorders>
          </w:tcPr>
          <w:p>
            <w:pPr>
              <w:spacing w:after="0"/>
              <w:rPr>
                <w:sz w:val="2"/>
                <w:szCs w:val="2"/>
                <w:color w:val="auto"/>
              </w:rPr>
            </w:pPr>
          </w:p>
        </w:tc>
        <w:tc>
          <w:tcPr>
            <w:tcW w:w="2280" w:type="dxa"/>
            <w:vAlign w:val="bottom"/>
            <w:tcBorders>
              <w:bottom w:val="single" w:sz="8" w:color="2D53A6"/>
              <w:right w:val="single" w:sz="8" w:color="2D53A6"/>
            </w:tcBorders>
          </w:tcPr>
          <w:p>
            <w:pPr>
              <w:spacing w:after="0"/>
              <w:rPr>
                <w:sz w:val="2"/>
                <w:szCs w:val="2"/>
                <w:color w:val="auto"/>
              </w:rPr>
            </w:pPr>
          </w:p>
        </w:tc>
        <w:tc>
          <w:tcPr>
            <w:tcW w:w="2280" w:type="dxa"/>
            <w:vAlign w:val="bottom"/>
            <w:tcBorders>
              <w:bottom w:val="single" w:sz="8" w:color="2D53A6"/>
              <w:right w:val="single" w:sz="8" w:color="2D53A6"/>
            </w:tcBorders>
          </w:tcPr>
          <w:p>
            <w:pPr>
              <w:spacing w:after="0"/>
              <w:rPr>
                <w:sz w:val="2"/>
                <w:szCs w:val="2"/>
                <w:color w:val="auto"/>
              </w:rPr>
            </w:pPr>
          </w:p>
        </w:tc>
        <w:tc>
          <w:tcPr>
            <w:tcW w:w="218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5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Luis A. Müller</w:t>
            </w:r>
          </w:p>
        </w:tc>
        <w:tc>
          <w:tcPr>
            <w:tcW w:w="2280" w:type="dxa"/>
            <w:vAlign w:val="bottom"/>
            <w:tcBorders>
              <w:bottom w:val="single" w:sz="8" w:color="E6E6E6"/>
              <w:right w:val="single" w:sz="8" w:color="2D53A6"/>
            </w:tcBorders>
            <w:shd w:val="clear" w:color="auto" w:fill="E6E6E6"/>
          </w:tcPr>
          <w:p>
            <w:pPr>
              <w:spacing w:after="0"/>
              <w:rPr>
                <w:sz w:val="24"/>
                <w:szCs w:val="24"/>
                <w:color w:val="auto"/>
              </w:rPr>
            </w:pPr>
          </w:p>
        </w:tc>
        <w:tc>
          <w:tcPr>
            <w:tcW w:w="2280" w:type="dxa"/>
            <w:vAlign w:val="bottom"/>
            <w:tcBorders>
              <w:bottom w:val="single" w:sz="8" w:color="E6E6E6"/>
              <w:right w:val="single" w:sz="8" w:color="2D53A6"/>
            </w:tcBorders>
            <w:shd w:val="clear" w:color="auto" w:fill="E6E6E6"/>
          </w:tcPr>
          <w:p>
            <w:pPr>
              <w:spacing w:after="0"/>
              <w:rPr>
                <w:sz w:val="24"/>
                <w:szCs w:val="24"/>
                <w:color w:val="auto"/>
              </w:rPr>
            </w:pPr>
          </w:p>
        </w:tc>
        <w:tc>
          <w:tcPr>
            <w:tcW w:w="218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00" w:type="dxa"/>
            <w:vAlign w:val="bottom"/>
            <w:tcBorders>
              <w:top w:val="single" w:sz="8" w:color="2D53A6"/>
              <w:bottom w:val="single" w:sz="8" w:color="2D53A6"/>
              <w:right w:val="single" w:sz="8" w:color="2D53A6"/>
            </w:tcBorders>
          </w:tcPr>
          <w:p>
            <w:pPr>
              <w:ind w:left="40"/>
              <w:spacing w:after="0"/>
              <w:rPr>
                <w:sz w:val="20"/>
                <w:szCs w:val="20"/>
                <w:color w:val="auto"/>
              </w:rPr>
            </w:pPr>
            <w:r>
              <w:rPr>
                <w:rFonts w:ascii="Arial" w:cs="Arial" w:eastAsia="Arial" w:hAnsi="Arial"/>
                <w:sz w:val="18"/>
                <w:szCs w:val="18"/>
                <w:b w:val="1"/>
                <w:bCs w:val="1"/>
                <w:color w:val="auto"/>
              </w:rPr>
              <w:t>Number of Meetings in Fiscal Year 2024</w:t>
            </w:r>
          </w:p>
        </w:tc>
        <w:tc>
          <w:tcPr>
            <w:tcW w:w="2280" w:type="dxa"/>
            <w:vAlign w:val="bottom"/>
            <w:tcBorders>
              <w:top w:val="single" w:sz="8" w:color="2D53A6"/>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6</w:t>
            </w:r>
          </w:p>
        </w:tc>
        <w:tc>
          <w:tcPr>
            <w:tcW w:w="2280" w:type="dxa"/>
            <w:vAlign w:val="bottom"/>
            <w:tcBorders>
              <w:top w:val="single" w:sz="8" w:color="2D53A6"/>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6</w:t>
            </w:r>
          </w:p>
        </w:tc>
        <w:tc>
          <w:tcPr>
            <w:tcW w:w="2180" w:type="dxa"/>
            <w:vAlign w:val="bottom"/>
            <w:tcBorders>
              <w:top w:val="single" w:sz="8" w:color="2D53A6"/>
              <w:bottom w:val="single" w:sz="8" w:color="2D53A6"/>
            </w:tcBorders>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Lead Independent Director.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2D53A6"/>
        </w:rPr>
        <w:t>Audit Committee</w:t>
      </w:r>
    </w:p>
    <w:p>
      <w:pPr>
        <w:spacing w:after="0" w:line="20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Audit Committee assists the Board in fulfilling its responsibilities for general oversight of the integrity of Cohu’s financial statements, Cohu’s compliance with legal and regulatory requirements, the independent registered public accounting firm’s qualifications, independence and performance, enterprise risk assessment and risk management, and execution of Cohu’s cybersecurity risk management strategy. Among other things, the Audit Committee reviews the results of the independent registered public accounting firm’s annual audit and quarterly reviews, including the communications required by the PCAOB; prepares the Audit Committee report for inclusion in the annual proxy statement; annually reviews the Audit Committee charter and the committee’s performance; appoints, evaluates and approves the fees of Cohu’s independent registered public accounting firm and the lead audit engagement partner and reviews rotation of the lead audit engagement partner; reviews and approves the scope of the annual audit, the audit fee and the financial statements; assesses the independence of the independent registered public accounting firm; reviews Cohu’s disclosure controls and procedures, internal controls, including such controls over financial reporting; reviews the adequacy and effectiveness of Cohu’s information security policies and the internal controls regarding information security and cybersecurity; oversees investigations into complaints concerning financial and accounting matters; oversees the work of internal auditors; and reviews other risks that may have a significant impact on Cohu’s financial statements. The Audit Committee works closely with management as well as Cohu’s independent registered public accounting firm. The Audit Committee has the authority to obtain advice and assistance from, and receive appropriate funding from Cohu for, outside legal, accounting or other advisors as the Audit Committee deems necessary in order to carry out its duties.</w:t>
      </w:r>
    </w:p>
    <w:p>
      <w:pPr>
        <w:spacing w:after="0" w:line="174" w:lineRule="exact"/>
        <w:rPr>
          <w:sz w:val="20"/>
          <w:szCs w:val="20"/>
          <w:color w:val="auto"/>
        </w:rPr>
      </w:pPr>
    </w:p>
    <w:p>
      <w:pPr>
        <w:ind w:right="1040"/>
        <w:spacing w:after="0" w:line="271" w:lineRule="auto"/>
        <w:rPr>
          <w:sz w:val="20"/>
          <w:szCs w:val="20"/>
          <w:color w:val="auto"/>
        </w:rPr>
      </w:pPr>
      <w:r>
        <w:rPr>
          <w:rFonts w:ascii="Arial" w:cs="Arial" w:eastAsia="Arial" w:hAnsi="Arial"/>
          <w:sz w:val="18"/>
          <w:szCs w:val="18"/>
          <w:color w:val="auto"/>
        </w:rPr>
        <w:t xml:space="preserve">The report of the Audit Committee is set forth on page 51 and the charter of the Audit Committee is available at </w:t>
      </w:r>
      <w:r>
        <w:rPr>
          <w:rFonts w:ascii="Arial" w:cs="Arial" w:eastAsia="Arial" w:hAnsi="Arial"/>
          <w:sz w:val="18"/>
          <w:szCs w:val="18"/>
          <w:u w:val="single" w:color="auto"/>
          <w:color w:val="auto"/>
        </w:rPr>
        <w:t>https://cohu.gcs-web.com/corporate-governance/documents-charters</w:t>
      </w:r>
      <w:r>
        <w:rPr>
          <w:rFonts w:ascii="Arial" w:cs="Arial" w:eastAsia="Arial" w:hAnsi="Arial"/>
          <w:sz w:val="18"/>
          <w:szCs w:val="18"/>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2D53A6"/>
        </w:rPr>
        <w:t>Compensation Committee</w:t>
      </w:r>
    </w:p>
    <w:p>
      <w:pPr>
        <w:spacing w:after="0" w:line="20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Compensation Committee discharges the Board’s responsibilities relating to determining compensation of Cohu’s executives, makes recommendations to the Board related to compensation of directors, produces an annual report on executive compensation for inclusion in Cohu’s proxy statement, and provides general oversight of Cohu’s compensation structure, including equity compensation plans and benefit programs. Among other things, the Compensation Committee reviews and discusses the “Compensation Discussion and Analysis” with management, and prepares an annual compensation committee report for inclusion in Cohu’s proxy statement; provides general oversight of Cohu’s compensation structure, including Cohu’s equity compensation plans and benefits programs; and retains and approves the terms of the retention of any compensation consultants and other compensation experts. Other specific duties and responsibilities of the Compensation Committee include reviewing and approving objectives relevant to executive officer compensation, participating in the evaluation of the performance and determining the compensation of executive officers, including equity awards, in accordance with those objectives; approving employment agreements for executive officers; approving and amending Cohu’s equity and non-equity incentive compensation and related performance goals and measures and stock-related programs (subject to stockholder approval, if required); approving any changes to non-equity based benefit plans involving a material financial commitment by Cohu; recommending director compensation to the Board; monitoring director and executive stock ownership; and annually evaluating its performance and its charter.</w:t>
      </w:r>
    </w:p>
    <w:p>
      <w:pPr>
        <w:spacing w:after="0" w:line="167" w:lineRule="exact"/>
        <w:rPr>
          <w:sz w:val="20"/>
          <w:szCs w:val="20"/>
          <w:color w:val="auto"/>
        </w:rPr>
      </w:pPr>
    </w:p>
    <w:p>
      <w:pPr>
        <w:ind w:right="1100"/>
        <w:spacing w:after="0" w:line="271" w:lineRule="auto"/>
        <w:rPr>
          <w:sz w:val="20"/>
          <w:szCs w:val="20"/>
          <w:color w:val="auto"/>
        </w:rPr>
      </w:pPr>
      <w:r>
        <w:rPr>
          <w:rFonts w:ascii="Arial" w:cs="Arial" w:eastAsia="Arial" w:hAnsi="Arial"/>
          <w:sz w:val="18"/>
          <w:szCs w:val="18"/>
          <w:color w:val="auto"/>
        </w:rPr>
        <w:t xml:space="preserve">The report of the Compensation Committee is set forth on page 38. The charter of the Compensation Committee is available at </w:t>
      </w:r>
      <w:r>
        <w:rPr>
          <w:rFonts w:ascii="Arial" w:cs="Arial" w:eastAsia="Arial" w:hAnsi="Arial"/>
          <w:sz w:val="18"/>
          <w:szCs w:val="18"/>
          <w:u w:val="single" w:color="auto"/>
          <w:color w:val="auto"/>
        </w:rPr>
        <w:t>https://cohu.gcs web.com/corporate-governance/documents-charters</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2D53A6"/>
        </w:rPr>
        <w:t>Nominating and Governance Committee</w:t>
      </w:r>
    </w:p>
    <w:p>
      <w:pPr>
        <w:spacing w:after="0" w:line="20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Nominating and Governance Committee identifies individuals qualified to become Board members and establishes the procedures for the nomination of Board candidates for election as directors at Cohu’s annual meeting consistent with criteria the Nominating and Governance Committee deems appropriate, as approved by the Board; develops Cohu’s Corporate Governance Guidelines for approval by the Board, and reviews and recommends updates to such Guidelines, as appropriate; oversees the Company’s corporate responsibility and sustainability initiatives; oversees the organization of the Board to discharge the Board’s duties and responsibilities properly and efficiently, including the annual evaluation of the Board and its committees; and giving proper attention and making effective responses to stockholder concerns regarding corporate governance. Other specific duties and responsibilities of the Nominating and Governance Committee include annual assessment of the size and composition of the Board; developing membership qualifications for Board committees; defining specific criteria for director independence; monitoring compliance with Board and Board committee membership criteria; annually reviewing and recommending directors for continued service; coordinating and assisting management and the Board in recruiting new members to the Board; annually, and together with the Compensation Committee and the Lead Independent Director, providing input to the performance evaluation of the CEO; reviewing and recommending proposed changes to Cohu’s articles or bylaws and Board committee charters; periodically assessing and recommending action with respect to stockholder rights plans or other stockholder protections; recommending Board committee assignments; reviewing and approving any employee director or executive officer standing for election for outside for-profit or non-profit boards of directors; reviewing governance-related stockholder proposals and recommending Board responses; overseeing the evaluation of the Board and management and conducting a preliminary review of director independence and the financial literacy and expertise of Audit Committee members; and reviewing, overseeing and reporting to the Board on Cohu’s corporate responsibility and sustainability initiatives, including potential trends and impacts to Cohu’s business regarding environmental (including climate-related risks and opportunities), social and governance issues. The Chair of the Nominating and Governance Committee receives communications directed to non-employee directors.</w:t>
      </w:r>
    </w:p>
    <w:p>
      <w:pPr>
        <w:spacing w:after="0" w:line="182"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 xml:space="preserve">The charter of the Nominating and Governance Committee is available at </w:t>
      </w:r>
      <w:r>
        <w:rPr>
          <w:rFonts w:ascii="Arial" w:cs="Arial" w:eastAsia="Arial" w:hAnsi="Arial"/>
          <w:sz w:val="18"/>
          <w:szCs w:val="18"/>
          <w:u w:val="single" w:color="auto"/>
          <w:color w:val="auto"/>
        </w:rPr>
        <w:t>https://cohu.gcs-web.com/corporate-governance/documents-charters</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2D53A6"/>
        </w:rPr>
        <w:t>Board Leadership Structure</w:t>
      </w:r>
    </w:p>
    <w:p>
      <w:pPr>
        <w:spacing w:after="0" w:line="200"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As of the date of this proxy statement, our Board is currently comprised of seven (7) independent directors, one (1) non-independent, non-executive director (Mr. Donahue, as the former CEO of Cohu), and one (1) executive director (Dr. Müller, our CEO). Our corporate governance principles provide that the Board will fill the Chairperson and Chief Executive Officer positions based upon the Board’s view of what is in Cohu’s best interests at any point in time and do not prevent our Chief Executive Officer from also serving as our Chairperson of the Board. Our Board evaluates its leadership structure and elects the Chairperson and the Chief Executive Officer based on the criteria it deems to be appropriate and in the best interests of Cohu and its stockholders, given the circumstances at the time of such election. While we have in the past had one person serve as Chairperson of the Board and Chief Executive Officer, the positions are currently held by separate individuals.</w:t>
      </w:r>
    </w:p>
    <w:p>
      <w:pPr>
        <w:spacing w:after="0" w:line="167"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Separating the positions of Chief Executive Officer and Chairperson of the Board allows our Chief Executive Officer to focus on the day-to-day operations and strategy of our business, while allowing the Chairperson of the Board to lead the Board in its fundamental role of providing advice to and independent oversight of management. Given his long tenure with and status within Cohu, our Board believes Mr. Donahue possesses detailed and in-depth knowledge of the issues, opportunities, and challenges facing Cohu and we believe he is best positioned to develop agendas that ensure that the Board’s time and attention are focused on the most critical matters. Our Board believes that having Dr. Müller serve as Cohu’s Chief Executive Officer and Mr. Donahue serve as Chairperson, in combination with Mr. Bilodeau’s service as Lead Independent Director, is in the best interests of Cohu and its stockholders.</w:t>
      </w:r>
    </w:p>
    <w:p>
      <w:pPr>
        <w:sectPr>
          <w:pgSz w:w="11900" w:h="16838" w:orient="portrait"/>
          <w:cols w:equalWidth="0" w:num="1">
            <w:col w:w="11180"/>
          </w:cols>
          <w:pgMar w:left="320" w:top="121" w:right="399" w:bottom="1440" w:gutter="0" w:footer="0" w:header="0"/>
        </w:sectPr>
      </w:pP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Cohu’s Corporate Governance Guidelines provide for the circumstances in which the Nominating and Governance Committee shall nominate an independent director to serve as the Lead Independent Director, the selection of whom shall be subject to approval by a vote of the majority of the independent directors. Although annually elected, the Lead Independent Director is generally expected to serve for more than one year.</w:t>
      </w:r>
    </w:p>
    <w:p>
      <w:pPr>
        <w:spacing w:after="0" w:line="16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specific responsibilities of the Lead Independent Director include presiding at executive sessions of directors and at board meetings where the Chairperson is not present, calling meetings of independent directors, serving as a liaison between the independent directors and the Chairperson and CEO, and performing such other duties and responsibilities as the Board may determine.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2D53A6"/>
        </w:rPr>
        <w:t>Risk Oversight</w:t>
      </w:r>
    </w:p>
    <w:p>
      <w:pPr>
        <w:spacing w:after="0" w:line="20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Board oversees our risk management process. The Board focuses on general risk management strategy, the most significant risks facing Cohu, and ensures that appropriate risk mitigation strategies are implemented by management. The Board is also apprised of particular risk management matters in connection with its general oversight and approval of corporate matters. Cohu’s management is responsible for day-to-day risk management. This responsibility includes identifying, evaluating, and addressing potential risks that may exist at the enterprise, strategic, financial, operational, cybersecurity, and compliance and reporting levels. Management prepares annually an enterprise risk assessment and reviews such assessment with the Board. Five (5) of our directors have completed a course on cybersecurity and earned the CERT Certificate in Cybersecurity Oversight from the National Association of Corporate Directors (NACD).</w:t>
      </w:r>
    </w:p>
    <w:p>
      <w:pPr>
        <w:spacing w:after="0" w:line="17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While our Board is ultimately responsible for risk oversight, our Board committees assist our Board in fulfilling its oversight responsibilities in certain areas of risk. Our Audit Committee assists our Board in fulfilling its oversight responsibilities with respect to risk management in the areas of internal control over financial reporting and disclosure controls and procedures, legal and regulatory compliance, and discusses with management and the independent auditor guidelines and policies with respect to risk assessment and risk management. Our Audit Committee also reviews our major financial risk exposures and the steps management has taken to monitor and control these exposures. In addition, our Audit Committee monitors certain key risks on a regular basis throughout the fiscal year, such as risk associated with internal control over financial reporting, liquidity and cybersecurity risks. Our Nominating and Governance Committee assists our Board in fulfilling its oversight responsibilities with respect to the management of risk associated with board organization, membership and structure, corporate governance and sustainability risks. Our Compensation Committee oversees risks related to our compensation policies to ensure that our compensation programs do not encourage unnecessary risk-taking. Finally, our full Board reviews strategic and operational risk in the context of reports from the management team, receives reports on all significant committee activities at each regular meeting, and evaluates the risks inherent in significant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2D53A6"/>
        </w:rPr>
        <w:t>Stockholder Nominees</w:t>
      </w:r>
    </w:p>
    <w:p>
      <w:pPr>
        <w:spacing w:after="0" w:line="20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policy of the Nominating and Governance Committee is to consider properly submitted stockholder nominations for candidates for membership on the Board as described below under “Identifying and Evaluating Nominees for Directors”. In evaluating such nominations, the Nominating and Governance Committee seeks to achieve a balance of knowledge, experience, capability, background and perspective on the Board and to address the membership criteria set forth under “Director Qualifications”.</w:t>
      </w:r>
    </w:p>
    <w:p>
      <w:pPr>
        <w:spacing w:after="0" w:line="16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Any stockholder nominations proposed for consideration by the Nominating and Governance Committee should include the nominee’s name and qualifications for Board membership and should be addressed to:</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Cohu, Inc.</w:t>
      </w:r>
    </w:p>
    <w:p>
      <w:pPr>
        <w:ind w:left="660"/>
        <w:spacing w:after="0" w:line="234" w:lineRule="auto"/>
        <w:rPr>
          <w:sz w:val="20"/>
          <w:szCs w:val="20"/>
          <w:color w:val="auto"/>
        </w:rPr>
      </w:pPr>
      <w:r>
        <w:rPr>
          <w:rFonts w:ascii="Arial" w:cs="Arial" w:eastAsia="Arial" w:hAnsi="Arial"/>
          <w:sz w:val="18"/>
          <w:szCs w:val="18"/>
          <w:color w:val="auto"/>
        </w:rPr>
        <w:t>12367 Crosthwaite Circle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Poway, CA 92064-6817</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addition, the bylaws of Cohu permit stockholders to nominate directors for consideration at an annual stockholder meeting. For a description of the process for nominating directors in accordance with Cohu’s bylaws, see “Stockholder Proposals - 2026 Annual Meeting” on page 53.</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2D53A6"/>
        </w:rPr>
        <w:t>Director Qualifications</w:t>
      </w:r>
    </w:p>
    <w:p>
      <w:pPr>
        <w:spacing w:after="0" w:line="20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Cohu’s Corporate Governance Guidelines are available at </w:t>
      </w:r>
      <w:r>
        <w:rPr>
          <w:rFonts w:ascii="Arial" w:cs="Arial" w:eastAsia="Arial" w:hAnsi="Arial"/>
          <w:sz w:val="18"/>
          <w:szCs w:val="18"/>
          <w:u w:val="single" w:color="auto"/>
          <w:color w:val="auto"/>
        </w:rPr>
        <w:t>https://cohu.gcs-web.com/corporate-governance/documents-charters</w:t>
      </w:r>
      <w:r>
        <w:rPr>
          <w:rFonts w:ascii="Arial" w:cs="Arial" w:eastAsia="Arial" w:hAnsi="Arial"/>
          <w:sz w:val="18"/>
          <w:szCs w:val="18"/>
          <w:color w:val="auto"/>
        </w:rPr>
        <w:t xml:space="preserve"> and contain Board membership criteria that apply to nominees recommended by the Nominating and Governance Committee for a position on Cohu’s Board. Under these criteria, members of the Board should have high professional and personal ethics and values and diversity in perspectives and experiences, consistent with longstanding Cohu values and standards. They should have relevant experience at the policy-making level in business, government, education, technology and/or public interest. They should also be committed to enhancing stockholder value and should have sufficient time to carry out their duties and to provide insight and practical wisdom, based on their experience. In addition, the Board and Nominating and Governance Committee value economic, professional and educational diversity in evaluating new Board candidates and seek to incorporate a wide range of these attributes within Cohu’s Board. Their service on other boards of public companies should be limited to a number that permits them, given their individual circumstances, to responsibly perform all director duties. Consistent with these values, our Board has interviewed and considered a diverse set of candidates each time it has made new appointments to the Cohu Board. As demonstrated by our past recruitment actions, in future director searches, we will continue to broadly seek and consider qualified candidates that we believe best represent the interests of all our stockholders.</w:t>
      </w:r>
    </w:p>
    <w:p>
      <w:pPr>
        <w:spacing w:after="0" w:line="169"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Additionally, our Corporate Governance Guidelines, as adopted and annually reviewed by our Board, include a retirement policy under which non-executive directors may stand for re-election a maximum of one-term after reaching the age of 75, provided that the Nominating and Governance Committee and the Board determine it is in the best interests of the Company and its stockholders. Consistent with such policy, the Nominating and Governance Committee and the Board evaluated and determined that the nomination of Mr. Donahue for an additional term pending his re-election in 2025 (See Proposal No. 1) is in the best interest of the Company and its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2D53A6"/>
        </w:rPr>
        <w:t>Identifying and Evaluating Nominees for Directors</w:t>
      </w:r>
    </w:p>
    <w:p>
      <w:pPr>
        <w:spacing w:after="0" w:line="2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Nominating and Governance Committee uses a variety of methods for identifying and evaluating nominees for director. The Nominating and Governance Committee assesses the appropriate size of the Board, and whether any vacancies on the Board are expected due to retirement or otherwise. In the event that vacancies are anticipated, or otherwise arise, the Nominating and Governance Committee considers various potential candidates for director. Candidates may come to the attention of the Nominating and Governance Committee through current Board members, professional search firms, stockholders or other persons. These candidates are evaluated at regular or special meetings of the Nominating and Governance Committee and may be considered at any point during the year. As described above, the Nominating and Governance Committee also considers properly submitted stockholder nominations for candidates for the Board. Following verification of the stockholder status of persons proposing candidates, recommendations are aggregated and considered by the Nominating and Governance Committee at a regularly scheduled meeting. If any materials are provided by a stockholder in connection with the nomination of a director candidate, such materials are forwarded to the Nominating and Governance Committee. The Nominating and Governance Committee also reviews materials provided by professional search firms or other parties in connection with a nominee who is not proposed by a stockholder. In evaluating such nominations, the Nominating and Governance Committee seeks to achieve a balance of knowledge, backgrounds and perspectives, experience and capability on the Board. The Board believes it is important for the Board to have diversity of knowledge base, life perspectives, professional experience and skills, and the Board and Nominating and Governance Committee takes these qualities into account when considering director nominees.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2D53A6"/>
        </w:rPr>
        <w:t>Executive Sessions</w:t>
      </w:r>
    </w:p>
    <w:p>
      <w:pPr>
        <w:spacing w:after="0" w:line="20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Executive sessions of independent directors, without management and non-independent directors present, are held at least three times a year. The sessions may be scheduled or held on an impromptu basis, and are chaired by the Lead Independent Director or, in the absence of the Lead Independent Director, the Chair of the Nominating and Governance Committee or another independent director. Any independent director can request that an additional executive session be initiated or scheduled.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2D53A6"/>
        </w:rPr>
        <w:t>Communications with the Board</w:t>
      </w:r>
    </w:p>
    <w:p>
      <w:pPr>
        <w:spacing w:after="0" w:line="20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Individuals may communicate with the Board, including the non-employee directors, by submitting an e-mail to Cohu’s Board at </w:t>
      </w:r>
      <w:r>
        <w:rPr>
          <w:rFonts w:ascii="Arial" w:cs="Arial" w:eastAsia="Arial" w:hAnsi="Arial"/>
          <w:sz w:val="18"/>
          <w:szCs w:val="18"/>
          <w:u w:val="single" w:color="auto"/>
          <w:color w:val="auto"/>
        </w:rPr>
        <w:t>corp@cohu.com</w:t>
      </w:r>
      <w:r>
        <w:rPr>
          <w:rFonts w:ascii="Arial" w:cs="Arial" w:eastAsia="Arial" w:hAnsi="Arial"/>
          <w:sz w:val="18"/>
          <w:szCs w:val="18"/>
          <w:color w:val="auto"/>
        </w:rPr>
        <w:t xml:space="preserve"> or by sending a letter to the Cohu Board of Directors, c/o Corporate Secretary, Cohu, Inc., 12367 Crosthwaite Circle, Poway, California 92064-6817. Communications are distributed to our Board, or to individual directors as appropriate, depending on the facts and circumstances outlined in the communication.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2D53A6"/>
        </w:rPr>
        <w:t>Compensation of Directors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19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Directors who are employees of Cohu do not receive any additional compensation for their services as directors. During fiscal year 2024, non-employee directors received an annual retainer, and Board committee Chairs and members received annual fees, all paid quarterly, as set forth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5300" w:type="dxa"/>
            <w:vAlign w:val="bottom"/>
            <w:tcBorders>
              <w:right w:val="single" w:sz="8" w:color="2D53A6"/>
            </w:tcBorders>
            <w:shd w:val="clear" w:color="auto" w:fill="2D53A6"/>
          </w:tcPr>
          <w:p>
            <w:pPr>
              <w:spacing w:after="0"/>
              <w:rPr>
                <w:sz w:val="24"/>
                <w:szCs w:val="24"/>
                <w:color w:val="auto"/>
              </w:rPr>
            </w:pPr>
          </w:p>
        </w:tc>
        <w:tc>
          <w:tcPr>
            <w:tcW w:w="4540" w:type="dxa"/>
            <w:vAlign w:val="bottom"/>
            <w:tcBorders>
              <w:right w:val="single" w:sz="8" w:color="2D53A6"/>
            </w:tcBorders>
            <w:shd w:val="clear" w:color="auto" w:fill="2D53A6"/>
          </w:tcPr>
          <w:p>
            <w:pPr>
              <w:ind w:left="40"/>
              <w:spacing w:after="0"/>
              <w:rPr>
                <w:sz w:val="20"/>
                <w:szCs w:val="20"/>
                <w:color w:val="auto"/>
              </w:rPr>
            </w:pPr>
            <w:r>
              <w:rPr>
                <w:rFonts w:ascii="Arial" w:cs="Arial" w:eastAsia="Arial" w:hAnsi="Arial"/>
                <w:sz w:val="20"/>
                <w:szCs w:val="20"/>
                <w:b w:val="1"/>
                <w:bCs w:val="1"/>
                <w:color w:val="FFFFFF"/>
              </w:rPr>
              <w:t>Compensation</w:t>
            </w:r>
          </w:p>
        </w:tc>
        <w:tc>
          <w:tcPr>
            <w:tcW w:w="1400" w:type="dxa"/>
            <w:vAlign w:val="bottom"/>
            <w:shd w:val="clear" w:color="auto" w:fill="2D53A6"/>
          </w:tcPr>
          <w:p>
            <w:pPr>
              <w:jc w:val="right"/>
              <w:ind w:right="389"/>
              <w:spacing w:after="0"/>
              <w:rPr>
                <w:sz w:val="20"/>
                <w:szCs w:val="20"/>
                <w:color w:val="auto"/>
              </w:rPr>
            </w:pPr>
            <w:r>
              <w:rPr>
                <w:rFonts w:ascii="Arial" w:cs="Arial" w:eastAsia="Arial" w:hAnsi="Arial"/>
                <w:sz w:val="20"/>
                <w:szCs w:val="20"/>
                <w:b w:val="1"/>
                <w:bCs w:val="1"/>
                <w:color w:val="FFFFFF"/>
              </w:rPr>
              <w:t>2024</w:t>
            </w:r>
          </w:p>
        </w:tc>
        <w:tc>
          <w:tcPr>
            <w:tcW w:w="0" w:type="dxa"/>
            <w:vAlign w:val="bottom"/>
          </w:tcPr>
          <w:p>
            <w:pPr>
              <w:spacing w:after="0"/>
              <w:rPr>
                <w:sz w:val="1"/>
                <w:szCs w:val="1"/>
                <w:color w:val="auto"/>
              </w:rPr>
            </w:pPr>
          </w:p>
        </w:tc>
      </w:tr>
      <w:tr>
        <w:trPr>
          <w:trHeight w:val="261"/>
        </w:trPr>
        <w:tc>
          <w:tcPr>
            <w:tcW w:w="5300" w:type="dxa"/>
            <w:vAlign w:val="bottom"/>
            <w:tcBorders>
              <w:right w:val="single" w:sz="8" w:color="2D53A6"/>
            </w:tcBorders>
          </w:tcPr>
          <w:p>
            <w:pPr>
              <w:spacing w:after="0"/>
              <w:rPr>
                <w:sz w:val="22"/>
                <w:szCs w:val="22"/>
                <w:color w:val="auto"/>
              </w:rPr>
            </w:pPr>
          </w:p>
        </w:tc>
        <w:tc>
          <w:tcPr>
            <w:tcW w:w="454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Chairperson of the Board</w:t>
            </w:r>
          </w:p>
        </w:tc>
        <w:tc>
          <w:tcPr>
            <w:tcW w:w="1400" w:type="dxa"/>
            <w:vAlign w:val="bottom"/>
          </w:tcPr>
          <w:p>
            <w:pPr>
              <w:jc w:val="right"/>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3"/>
        </w:trPr>
        <w:tc>
          <w:tcPr>
            <w:tcW w:w="5300" w:type="dxa"/>
            <w:vAlign w:val="bottom"/>
            <w:tcBorders>
              <w:right w:val="single" w:sz="8" w:color="2D53A6"/>
            </w:tcBorders>
          </w:tcPr>
          <w:p>
            <w:pPr>
              <w:spacing w:after="0"/>
              <w:rPr>
                <w:sz w:val="2"/>
                <w:szCs w:val="2"/>
                <w:color w:val="auto"/>
              </w:rPr>
            </w:pPr>
          </w:p>
        </w:tc>
        <w:tc>
          <w:tcPr>
            <w:tcW w:w="454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5300" w:type="dxa"/>
            <w:vAlign w:val="bottom"/>
            <w:tcBorders>
              <w:right w:val="single" w:sz="8" w:color="2D53A6"/>
            </w:tcBorders>
          </w:tcPr>
          <w:p>
            <w:pPr>
              <w:ind w:left="40"/>
              <w:spacing w:after="0"/>
              <w:rPr>
                <w:sz w:val="20"/>
                <w:szCs w:val="20"/>
                <w:color w:val="auto"/>
              </w:rPr>
            </w:pPr>
            <w:r>
              <w:rPr>
                <w:rFonts w:ascii="Arial" w:cs="Arial" w:eastAsia="Arial" w:hAnsi="Arial"/>
                <w:sz w:val="18"/>
                <w:szCs w:val="18"/>
                <w:b w:val="1"/>
                <w:bCs w:val="1"/>
                <w:color w:val="auto"/>
              </w:rPr>
              <w:t>Annual Retainer</w:t>
            </w:r>
          </w:p>
        </w:tc>
        <w:tc>
          <w:tcPr>
            <w:tcW w:w="4540" w:type="dxa"/>
            <w:vAlign w:val="bottom"/>
            <w:tcBorders>
              <w:bottom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Lead Independent Director</w:t>
            </w:r>
          </w:p>
        </w:tc>
        <w:tc>
          <w:tcPr>
            <w:tcW w:w="140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61"/>
        </w:trPr>
        <w:tc>
          <w:tcPr>
            <w:tcW w:w="5300" w:type="dxa"/>
            <w:vAlign w:val="bottom"/>
            <w:tcBorders>
              <w:right w:val="single" w:sz="8" w:color="2D53A6"/>
            </w:tcBorders>
          </w:tcPr>
          <w:p>
            <w:pPr>
              <w:spacing w:after="0"/>
              <w:rPr>
                <w:sz w:val="22"/>
                <w:szCs w:val="22"/>
                <w:color w:val="auto"/>
              </w:rPr>
            </w:pPr>
          </w:p>
        </w:tc>
        <w:tc>
          <w:tcPr>
            <w:tcW w:w="454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Other Directors</w:t>
            </w:r>
          </w:p>
        </w:tc>
        <w:tc>
          <w:tcPr>
            <w:tcW w:w="1400" w:type="dxa"/>
            <w:vAlign w:val="bottom"/>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3"/>
        </w:trPr>
        <w:tc>
          <w:tcPr>
            <w:tcW w:w="5300" w:type="dxa"/>
            <w:vAlign w:val="bottom"/>
            <w:tcBorders>
              <w:bottom w:val="single" w:sz="8" w:color="2D53A6"/>
              <w:right w:val="single" w:sz="8" w:color="2D53A6"/>
            </w:tcBorders>
          </w:tcPr>
          <w:p>
            <w:pPr>
              <w:spacing w:after="0"/>
              <w:rPr>
                <w:sz w:val="2"/>
                <w:szCs w:val="2"/>
                <w:color w:val="auto"/>
              </w:rPr>
            </w:pPr>
          </w:p>
        </w:tc>
        <w:tc>
          <w:tcPr>
            <w:tcW w:w="454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300" w:type="dxa"/>
            <w:vAlign w:val="bottom"/>
            <w:tcBorders>
              <w:right w:val="single" w:sz="8" w:color="2D53A6"/>
            </w:tcBorders>
            <w:vMerge w:val="restart"/>
          </w:tcPr>
          <w:p>
            <w:pPr>
              <w:ind w:left="40"/>
              <w:spacing w:after="0"/>
              <w:rPr>
                <w:sz w:val="20"/>
                <w:szCs w:val="20"/>
                <w:color w:val="auto"/>
              </w:rPr>
            </w:pPr>
            <w:r>
              <w:rPr>
                <w:rFonts w:ascii="Arial" w:cs="Arial" w:eastAsia="Arial" w:hAnsi="Arial"/>
                <w:sz w:val="18"/>
                <w:szCs w:val="18"/>
                <w:b w:val="1"/>
                <w:bCs w:val="1"/>
                <w:color w:val="auto"/>
              </w:rPr>
              <w:t>Annual Fees for</w:t>
            </w:r>
          </w:p>
        </w:tc>
        <w:tc>
          <w:tcPr>
            <w:tcW w:w="454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Audit Committee</w:t>
            </w:r>
          </w:p>
        </w:tc>
        <w:tc>
          <w:tcPr>
            <w:tcW w:w="140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
        </w:trPr>
        <w:tc>
          <w:tcPr>
            <w:tcW w:w="5300" w:type="dxa"/>
            <w:vAlign w:val="bottom"/>
            <w:tcBorders>
              <w:right w:val="single" w:sz="8" w:color="2D53A6"/>
            </w:tcBorders>
            <w:vMerge w:val="continue"/>
          </w:tcPr>
          <w:p>
            <w:pPr>
              <w:spacing w:after="0"/>
              <w:rPr>
                <w:sz w:val="2"/>
                <w:szCs w:val="2"/>
                <w:color w:val="auto"/>
              </w:rPr>
            </w:pPr>
          </w:p>
        </w:tc>
        <w:tc>
          <w:tcPr>
            <w:tcW w:w="454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110"/>
        </w:trPr>
        <w:tc>
          <w:tcPr>
            <w:tcW w:w="5300" w:type="dxa"/>
            <w:vAlign w:val="bottom"/>
            <w:tcBorders>
              <w:right w:val="single" w:sz="8" w:color="2D53A6"/>
            </w:tcBorders>
            <w:vMerge w:val="continue"/>
          </w:tcPr>
          <w:p>
            <w:pPr>
              <w:spacing w:after="0"/>
              <w:rPr>
                <w:sz w:val="9"/>
                <w:szCs w:val="9"/>
                <w:color w:val="auto"/>
              </w:rPr>
            </w:pPr>
          </w:p>
        </w:tc>
        <w:tc>
          <w:tcPr>
            <w:tcW w:w="4540" w:type="dxa"/>
            <w:vAlign w:val="bottom"/>
            <w:tcBorders>
              <w:right w:val="single" w:sz="8" w:color="2D53A6"/>
            </w:tcBorders>
            <w:vMerge w:val="restart"/>
          </w:tcPr>
          <w:p>
            <w:pPr>
              <w:ind w:left="40"/>
              <w:spacing w:after="0"/>
              <w:rPr>
                <w:sz w:val="20"/>
                <w:szCs w:val="20"/>
                <w:color w:val="auto"/>
              </w:rPr>
            </w:pPr>
            <w:r>
              <w:rPr>
                <w:rFonts w:ascii="Arial" w:cs="Arial" w:eastAsia="Arial" w:hAnsi="Arial"/>
                <w:sz w:val="18"/>
                <w:szCs w:val="18"/>
                <w:color w:val="auto"/>
              </w:rPr>
              <w:t>Compensation Committee</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$16,500</w:t>
            </w:r>
          </w:p>
        </w:tc>
        <w:tc>
          <w:tcPr>
            <w:tcW w:w="0" w:type="dxa"/>
            <w:vAlign w:val="bottom"/>
          </w:tcPr>
          <w:p>
            <w:pPr>
              <w:spacing w:after="0"/>
              <w:rPr>
                <w:sz w:val="1"/>
                <w:szCs w:val="1"/>
                <w:color w:val="auto"/>
              </w:rPr>
            </w:pPr>
          </w:p>
        </w:tc>
      </w:tr>
      <w:tr>
        <w:trPr>
          <w:trHeight w:val="144"/>
        </w:trPr>
        <w:tc>
          <w:tcPr>
            <w:tcW w:w="5300" w:type="dxa"/>
            <w:vAlign w:val="bottom"/>
            <w:tcBorders>
              <w:right w:val="single" w:sz="8" w:color="2D53A6"/>
            </w:tcBorders>
            <w:vMerge w:val="restart"/>
          </w:tcPr>
          <w:p>
            <w:pPr>
              <w:ind w:left="40"/>
              <w:spacing w:after="0" w:line="161" w:lineRule="exact"/>
              <w:rPr>
                <w:sz w:val="20"/>
                <w:szCs w:val="20"/>
                <w:color w:val="auto"/>
              </w:rPr>
            </w:pPr>
            <w:r>
              <w:rPr>
                <w:rFonts w:ascii="Arial" w:cs="Arial" w:eastAsia="Arial" w:hAnsi="Arial"/>
                <w:sz w:val="18"/>
                <w:szCs w:val="18"/>
                <w:b w:val="1"/>
                <w:bCs w:val="1"/>
                <w:color w:val="auto"/>
              </w:rPr>
              <w:t>Committee Chairs</w:t>
            </w:r>
          </w:p>
        </w:tc>
        <w:tc>
          <w:tcPr>
            <w:tcW w:w="4540" w:type="dxa"/>
            <w:vAlign w:val="bottom"/>
            <w:tcBorders>
              <w:right w:val="single" w:sz="8" w:color="2D53A6"/>
            </w:tcBorders>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5300" w:type="dxa"/>
            <w:vAlign w:val="bottom"/>
            <w:tcBorders>
              <w:right w:val="single" w:sz="8" w:color="2D53A6"/>
            </w:tcBorders>
            <w:vMerge w:val="continue"/>
          </w:tcPr>
          <w:p>
            <w:pPr>
              <w:spacing w:after="0"/>
              <w:rPr>
                <w:sz w:val="2"/>
                <w:szCs w:val="2"/>
                <w:color w:val="auto"/>
              </w:rPr>
            </w:pPr>
          </w:p>
        </w:tc>
        <w:tc>
          <w:tcPr>
            <w:tcW w:w="454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300" w:type="dxa"/>
            <w:vAlign w:val="bottom"/>
            <w:tcBorders>
              <w:right w:val="single" w:sz="8" w:color="2D53A6"/>
            </w:tcBorders>
          </w:tcPr>
          <w:p>
            <w:pPr>
              <w:spacing w:after="0"/>
              <w:rPr>
                <w:sz w:val="22"/>
                <w:szCs w:val="22"/>
                <w:color w:val="auto"/>
              </w:rPr>
            </w:pPr>
          </w:p>
        </w:tc>
        <w:tc>
          <w:tcPr>
            <w:tcW w:w="454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Nominating and Governance Committee</w:t>
            </w:r>
          </w:p>
        </w:tc>
        <w:tc>
          <w:tcPr>
            <w:tcW w:w="140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
        </w:trPr>
        <w:tc>
          <w:tcPr>
            <w:tcW w:w="5300" w:type="dxa"/>
            <w:vAlign w:val="bottom"/>
            <w:tcBorders>
              <w:bottom w:val="single" w:sz="8" w:color="2D53A6"/>
              <w:right w:val="single" w:sz="8" w:color="2D53A6"/>
            </w:tcBorders>
          </w:tcPr>
          <w:p>
            <w:pPr>
              <w:spacing w:after="0"/>
              <w:rPr>
                <w:sz w:val="2"/>
                <w:szCs w:val="2"/>
                <w:color w:val="auto"/>
              </w:rPr>
            </w:pPr>
          </w:p>
        </w:tc>
        <w:tc>
          <w:tcPr>
            <w:tcW w:w="454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300" w:type="dxa"/>
            <w:vAlign w:val="bottom"/>
            <w:tcBorders>
              <w:right w:val="single" w:sz="8" w:color="2D53A6"/>
            </w:tcBorders>
            <w:vMerge w:val="restart"/>
          </w:tcPr>
          <w:p>
            <w:pPr>
              <w:ind w:left="40"/>
              <w:spacing w:after="0"/>
              <w:rPr>
                <w:sz w:val="20"/>
                <w:szCs w:val="20"/>
                <w:color w:val="auto"/>
              </w:rPr>
            </w:pPr>
            <w:r>
              <w:rPr>
                <w:rFonts w:ascii="Arial" w:cs="Arial" w:eastAsia="Arial" w:hAnsi="Arial"/>
                <w:sz w:val="18"/>
                <w:szCs w:val="18"/>
                <w:b w:val="1"/>
                <w:bCs w:val="1"/>
                <w:color w:val="auto"/>
              </w:rPr>
              <w:t>Annual Fees for Other</w:t>
            </w:r>
          </w:p>
        </w:tc>
        <w:tc>
          <w:tcPr>
            <w:tcW w:w="454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Audit Committee</w:t>
            </w:r>
          </w:p>
        </w:tc>
        <w:tc>
          <w:tcPr>
            <w:tcW w:w="140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
        </w:trPr>
        <w:tc>
          <w:tcPr>
            <w:tcW w:w="5300" w:type="dxa"/>
            <w:vAlign w:val="bottom"/>
            <w:tcBorders>
              <w:right w:val="single" w:sz="8" w:color="2D53A6"/>
            </w:tcBorders>
            <w:vMerge w:val="continue"/>
          </w:tcPr>
          <w:p>
            <w:pPr>
              <w:spacing w:after="0"/>
              <w:rPr>
                <w:sz w:val="2"/>
                <w:szCs w:val="2"/>
                <w:color w:val="auto"/>
              </w:rPr>
            </w:pPr>
          </w:p>
        </w:tc>
        <w:tc>
          <w:tcPr>
            <w:tcW w:w="454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110"/>
        </w:trPr>
        <w:tc>
          <w:tcPr>
            <w:tcW w:w="5300" w:type="dxa"/>
            <w:vAlign w:val="bottom"/>
            <w:tcBorders>
              <w:right w:val="single" w:sz="8" w:color="2D53A6"/>
            </w:tcBorders>
            <w:vMerge w:val="continue"/>
          </w:tcPr>
          <w:p>
            <w:pPr>
              <w:spacing w:after="0"/>
              <w:rPr>
                <w:sz w:val="9"/>
                <w:szCs w:val="9"/>
                <w:color w:val="auto"/>
              </w:rPr>
            </w:pPr>
          </w:p>
        </w:tc>
        <w:tc>
          <w:tcPr>
            <w:tcW w:w="4540" w:type="dxa"/>
            <w:vAlign w:val="bottom"/>
            <w:tcBorders>
              <w:right w:val="single" w:sz="8" w:color="2D53A6"/>
            </w:tcBorders>
            <w:vMerge w:val="restart"/>
          </w:tcPr>
          <w:p>
            <w:pPr>
              <w:ind w:left="40"/>
              <w:spacing w:after="0"/>
              <w:rPr>
                <w:sz w:val="20"/>
                <w:szCs w:val="20"/>
                <w:color w:val="auto"/>
              </w:rPr>
            </w:pPr>
            <w:r>
              <w:rPr>
                <w:rFonts w:ascii="Arial" w:cs="Arial" w:eastAsia="Arial" w:hAnsi="Arial"/>
                <w:sz w:val="18"/>
                <w:szCs w:val="18"/>
                <w:color w:val="auto"/>
              </w:rPr>
              <w:t>Compensation Committee</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144"/>
        </w:trPr>
        <w:tc>
          <w:tcPr>
            <w:tcW w:w="5300" w:type="dxa"/>
            <w:vAlign w:val="bottom"/>
            <w:tcBorders>
              <w:right w:val="single" w:sz="8" w:color="2D53A6"/>
            </w:tcBorders>
            <w:vMerge w:val="restart"/>
          </w:tcPr>
          <w:p>
            <w:pPr>
              <w:ind w:left="40"/>
              <w:spacing w:after="0" w:line="161" w:lineRule="exact"/>
              <w:rPr>
                <w:sz w:val="20"/>
                <w:szCs w:val="20"/>
                <w:color w:val="auto"/>
              </w:rPr>
            </w:pPr>
            <w:r>
              <w:rPr>
                <w:rFonts w:ascii="Arial" w:cs="Arial" w:eastAsia="Arial" w:hAnsi="Arial"/>
                <w:sz w:val="18"/>
                <w:szCs w:val="18"/>
                <w:b w:val="1"/>
                <w:bCs w:val="1"/>
                <w:color w:val="auto"/>
              </w:rPr>
              <w:t>Committee Members</w:t>
            </w:r>
          </w:p>
        </w:tc>
        <w:tc>
          <w:tcPr>
            <w:tcW w:w="4540" w:type="dxa"/>
            <w:vAlign w:val="bottom"/>
            <w:tcBorders>
              <w:right w:val="single" w:sz="8" w:color="2D53A6"/>
            </w:tcBorders>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5300" w:type="dxa"/>
            <w:vAlign w:val="bottom"/>
            <w:tcBorders>
              <w:right w:val="single" w:sz="8" w:color="2D53A6"/>
            </w:tcBorders>
            <w:vMerge w:val="continue"/>
          </w:tcPr>
          <w:p>
            <w:pPr>
              <w:spacing w:after="0"/>
              <w:rPr>
                <w:sz w:val="2"/>
                <w:szCs w:val="2"/>
                <w:color w:val="auto"/>
              </w:rPr>
            </w:pPr>
          </w:p>
        </w:tc>
        <w:tc>
          <w:tcPr>
            <w:tcW w:w="454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300" w:type="dxa"/>
            <w:vAlign w:val="bottom"/>
            <w:tcBorders>
              <w:right w:val="single" w:sz="8" w:color="2D53A6"/>
            </w:tcBorders>
          </w:tcPr>
          <w:p>
            <w:pPr>
              <w:spacing w:after="0"/>
              <w:rPr>
                <w:sz w:val="22"/>
                <w:szCs w:val="22"/>
                <w:color w:val="auto"/>
              </w:rPr>
            </w:pPr>
          </w:p>
        </w:tc>
        <w:tc>
          <w:tcPr>
            <w:tcW w:w="454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Nominating and Governance Committee</w:t>
            </w:r>
          </w:p>
        </w:tc>
        <w:tc>
          <w:tcPr>
            <w:tcW w:w="140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
        </w:trPr>
        <w:tc>
          <w:tcPr>
            <w:tcW w:w="5300" w:type="dxa"/>
            <w:vAlign w:val="bottom"/>
            <w:tcBorders>
              <w:bottom w:val="single" w:sz="8" w:color="2D53A6"/>
              <w:right w:val="single" w:sz="8" w:color="2D53A6"/>
            </w:tcBorders>
          </w:tcPr>
          <w:p>
            <w:pPr>
              <w:spacing w:after="0"/>
              <w:rPr>
                <w:sz w:val="2"/>
                <w:szCs w:val="2"/>
                <w:color w:val="auto"/>
              </w:rPr>
            </w:pPr>
          </w:p>
        </w:tc>
        <w:tc>
          <w:tcPr>
            <w:tcW w:w="454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 addition to the retainers and fees noted above, non-employee directors are reimbursed for out-of-town travel and other reasonable out-of-pocket expenses related to attendance at Board and committee meetings.</w:t>
      </w:r>
    </w:p>
    <w:p>
      <w:pPr>
        <w:spacing w:after="0" w:line="14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Under the terms and conditions of the Cohu 2005 Equity Incentive Plan (the “2005 Plan”), members of the Board may make an annual irrevocable election to defer receipt of all or a portion of their cash-based non-employee director fees (including, as applicable, any annual retainer fee, committee fee and any other compensation payable with respect to their service as a member of the Board). In the event that a director makes such an election, Cohu will grant deferred stock units (“DSUs”) in lieu of cash, with an initial value equal to the deferred cash using the same 20-day average closing price calculation used for other value-based grants, which will be settled at a future date through the issuance of Cohu common stock upon the first to occur of cessation of service as a director for any reason, a change in control of Cohu or a future date selected by the director at the time of deferral. Mr. Caggia elected to defer 100% of his 2024 cash-based non-employee director fees.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96"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Non-employee directors participate in the 2005 Plan that provides for grants of restricted stock units or other forms of equity compensation to non-employee directors, as authorized by the Board. Cohu’s stock ownership guidelines provide that independent and non-employee directors should accumulate, over the three-year period commencing with their appointment or following an increase in the director’s annual cash retainer or a new guideline being approved, a minimum number of shares of Cohu stock with a value equal to three times the director’s annual cash retainer and should not sell any Cohu shares until these ownership guidelines are met and once met subsequent sales, if any, should not reduce their Cohu stock ownership below these minimum guideline amounts.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Equity compensation for non-employee directors during 2024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Borders>
              <w:top w:val="single" w:sz="8" w:color="2D53A6"/>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99"/>
              </w:rPr>
              <w:t>Initial Appointment</w:t>
            </w:r>
          </w:p>
        </w:tc>
        <w:tc>
          <w:tcPr>
            <w:tcW w:w="8560" w:type="dxa"/>
            <w:vAlign w:val="bottom"/>
            <w:tcBorders>
              <w:top w:val="single" w:sz="8" w:color="2D53A6"/>
            </w:tcBorders>
          </w:tcPr>
          <w:p>
            <w:pPr>
              <w:ind w:left="20"/>
              <w:spacing w:after="0"/>
              <w:rPr>
                <w:sz w:val="20"/>
                <w:szCs w:val="20"/>
                <w:color w:val="auto"/>
              </w:rPr>
            </w:pPr>
            <w:r>
              <w:rPr>
                <w:rFonts w:ascii="Arial" w:cs="Arial" w:eastAsia="Arial" w:hAnsi="Arial"/>
                <w:sz w:val="18"/>
                <w:szCs w:val="18"/>
                <w:color w:val="auto"/>
              </w:rPr>
              <w:t>RSUs with a total value of $150,000, but the total value of such grant is prorated based on the period of</w:t>
            </w:r>
          </w:p>
        </w:tc>
        <w:tc>
          <w:tcPr>
            <w:tcW w:w="0" w:type="dxa"/>
            <w:vAlign w:val="bottom"/>
          </w:tcPr>
          <w:p>
            <w:pPr>
              <w:spacing w:after="0"/>
              <w:rPr>
                <w:sz w:val="1"/>
                <w:szCs w:val="1"/>
                <w:color w:val="auto"/>
              </w:rPr>
            </w:pPr>
          </w:p>
        </w:tc>
      </w:tr>
      <w:tr>
        <w:trPr>
          <w:trHeight w:val="131"/>
        </w:trPr>
        <w:tc>
          <w:tcPr>
            <w:tcW w:w="2680" w:type="dxa"/>
            <w:vAlign w:val="bottom"/>
            <w:tcBorders>
              <w:right w:val="single" w:sz="8" w:color="2D53A6"/>
            </w:tcBorders>
            <w:vMerge w:val="continue"/>
          </w:tcPr>
          <w:p>
            <w:pPr>
              <w:spacing w:after="0"/>
              <w:rPr>
                <w:sz w:val="11"/>
                <w:szCs w:val="11"/>
                <w:color w:val="auto"/>
              </w:rPr>
            </w:pPr>
          </w:p>
        </w:tc>
        <w:tc>
          <w:tcPr>
            <w:tcW w:w="8560" w:type="dxa"/>
            <w:vAlign w:val="bottom"/>
            <w:vMerge w:val="restart"/>
          </w:tcPr>
          <w:p>
            <w:pPr>
              <w:ind w:left="20"/>
              <w:spacing w:after="0"/>
              <w:rPr>
                <w:sz w:val="20"/>
                <w:szCs w:val="20"/>
                <w:color w:val="auto"/>
              </w:rPr>
            </w:pPr>
            <w:r>
              <w:rPr>
                <w:rFonts w:ascii="Arial" w:cs="Arial" w:eastAsia="Arial" w:hAnsi="Arial"/>
                <w:sz w:val="18"/>
                <w:szCs w:val="18"/>
                <w:color w:val="auto"/>
              </w:rPr>
              <w:t>time between appointment as director and the next scheduled director annual equity grant date</w:t>
            </w:r>
          </w:p>
        </w:tc>
        <w:tc>
          <w:tcPr>
            <w:tcW w:w="0" w:type="dxa"/>
            <w:vAlign w:val="bottom"/>
          </w:tcPr>
          <w:p>
            <w:pPr>
              <w:spacing w:after="0"/>
              <w:rPr>
                <w:sz w:val="1"/>
                <w:szCs w:val="1"/>
                <w:color w:val="auto"/>
              </w:rPr>
            </w:pPr>
          </w:p>
        </w:tc>
      </w:tr>
      <w:tr>
        <w:trPr>
          <w:trHeight w:val="108"/>
        </w:trPr>
        <w:tc>
          <w:tcPr>
            <w:tcW w:w="2680" w:type="dxa"/>
            <w:vAlign w:val="bottom"/>
            <w:tcBorders>
              <w:right w:val="single" w:sz="8" w:color="2D53A6"/>
            </w:tcBorders>
          </w:tcPr>
          <w:p>
            <w:pPr>
              <w:spacing w:after="0"/>
              <w:rPr>
                <w:sz w:val="9"/>
                <w:szCs w:val="9"/>
                <w:color w:val="auto"/>
              </w:rPr>
            </w:pPr>
          </w:p>
        </w:tc>
        <w:tc>
          <w:tcPr>
            <w:tcW w:w="8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680" w:type="dxa"/>
            <w:vAlign w:val="bottom"/>
            <w:tcBorders>
              <w:bottom w:val="single" w:sz="8" w:color="2D53A6"/>
              <w:right w:val="single" w:sz="8" w:color="2D53A6"/>
            </w:tcBorders>
          </w:tcPr>
          <w:p>
            <w:pPr>
              <w:spacing w:after="0"/>
              <w:rPr>
                <w:sz w:val="2"/>
                <w:szCs w:val="2"/>
                <w:color w:val="auto"/>
              </w:rPr>
            </w:pPr>
          </w:p>
        </w:tc>
        <w:tc>
          <w:tcPr>
            <w:tcW w:w="856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268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Annual Grants</w:t>
            </w:r>
          </w:p>
        </w:tc>
        <w:tc>
          <w:tcPr>
            <w:tcW w:w="856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8"/>
                <w:szCs w:val="18"/>
                <w:color w:val="auto"/>
              </w:rPr>
              <w:t>RSUs with a total value of $150,000</w:t>
            </w:r>
          </w:p>
        </w:tc>
        <w:tc>
          <w:tcPr>
            <w:tcW w:w="0" w:type="dxa"/>
            <w:vAlign w:val="bottom"/>
          </w:tcPr>
          <w:p>
            <w:pPr>
              <w:spacing w:after="0"/>
              <w:rPr>
                <w:sz w:val="1"/>
                <w:szCs w:val="1"/>
                <w:color w:val="auto"/>
              </w:rPr>
            </w:pPr>
          </w:p>
        </w:tc>
      </w:tr>
      <w:tr>
        <w:trPr>
          <w:trHeight w:val="416"/>
        </w:trPr>
        <w:tc>
          <w:tcPr>
            <w:tcW w:w="2680" w:type="dxa"/>
            <w:vAlign w:val="bottom"/>
            <w:tcBorders>
              <w:top w:val="single" w:sz="8" w:color="2D53A6"/>
            </w:tcBorders>
          </w:tcPr>
          <w:p>
            <w:pPr>
              <w:spacing w:after="0"/>
              <w:rPr>
                <w:sz w:val="24"/>
                <w:szCs w:val="24"/>
                <w:color w:val="auto"/>
              </w:rPr>
            </w:pPr>
          </w:p>
        </w:tc>
        <w:tc>
          <w:tcPr>
            <w:tcW w:w="8560" w:type="dxa"/>
            <w:vAlign w:val="bottom"/>
            <w:tcBorders>
              <w:top w:val="single" w:sz="8" w:color="2D53A6"/>
            </w:tcBorders>
          </w:tcPr>
          <w:p>
            <w:pPr>
              <w:jc w:val="right"/>
              <w:ind w:right="54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98"/>
        </w:trPr>
        <w:tc>
          <w:tcPr>
            <w:tcW w:w="2680" w:type="dxa"/>
            <w:vAlign w:val="bottom"/>
            <w:tcBorders>
              <w:bottom w:val="single" w:sz="8" w:color="auto"/>
            </w:tcBorders>
          </w:tcPr>
          <w:p>
            <w:pPr>
              <w:spacing w:after="0"/>
              <w:rPr>
                <w:sz w:val="8"/>
                <w:szCs w:val="8"/>
                <w:color w:val="auto"/>
              </w:rPr>
            </w:pPr>
          </w:p>
        </w:tc>
        <w:tc>
          <w:tcPr>
            <w:tcW w:w="8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number of RSUs granted is calculated by dividing the grant total value by the fair market value of the stock as of the date of grant. For purposes of the 2005 Plan, our Board has deemed “fair market value” as the average closing price of a share of Cohu common stock for the twenty (20) trading days prior to and excluding the relevant grant or award date. Each RSU represents a contingent right to receive one share of Cohu common stock upon vesting. Subject to continued service on the Board, the RSUs granted to non-employee directors upon their initial appointment to the Board will vest in three equal annual installments after the date of grant. The annual RSU awards vest over approximately one year, and shares are issued upon the earlier to occur of the one-year anniversary of the grant date or the next annual meeting of stockholders. RSUs may be accelerated upon a change in control, as defined in the 2005 Plan.</w:t>
      </w:r>
    </w:p>
    <w:p>
      <w:pPr>
        <w:spacing w:after="0" w:line="17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June 5, 2024, 4,918 RSUs were awarded to each of Mses. Jorden, Rapp and Richardson and Messrs. Bendush, Bilodeau, Caggia, Donahue, and Mattes. Ms. Rapp joined the Board on May 6, 2024, and received an initial prorated grant of 403 RSUs which vest in three (3) equal annual installments after the date of the grant.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Benefits</w:t>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Mr. Donahue, who is a retired executive officer of Cohu, and his spouse receive medical benefits consisting of reimbursement of health insurance premiums and other medical costs not covered by insurance. These benefits are no longer offered to any current Cohu employees.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Director Compensation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compensation for Cohu’s non-employee directors for fiscal year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460" w:type="dxa"/>
            <w:vAlign w:val="bottom"/>
            <w:tcBorders>
              <w:right w:val="single" w:sz="8" w:color="2D53A6"/>
            </w:tcBorders>
            <w:vMerge w:val="restart"/>
            <w:shd w:val="clear" w:color="auto" w:fill="2D53A6"/>
          </w:tcPr>
          <w:p>
            <w:pPr>
              <w:ind w:left="40"/>
              <w:spacing w:after="0"/>
              <w:rPr>
                <w:sz w:val="20"/>
                <w:szCs w:val="20"/>
                <w:color w:val="auto"/>
              </w:rPr>
            </w:pPr>
            <w:r>
              <w:rPr>
                <w:rFonts w:ascii="Arial" w:cs="Arial" w:eastAsia="Arial" w:hAnsi="Arial"/>
                <w:sz w:val="18"/>
                <w:szCs w:val="18"/>
                <w:b w:val="1"/>
                <w:bCs w:val="1"/>
                <w:color w:val="FFFFFF"/>
              </w:rPr>
              <w:t>Name</w:t>
            </w:r>
          </w:p>
        </w:tc>
        <w:tc>
          <w:tcPr>
            <w:tcW w:w="1940" w:type="dxa"/>
            <w:vAlign w:val="bottom"/>
            <w:tcBorders>
              <w:right w:val="single" w:sz="8" w:color="2D53A6"/>
            </w:tcBorders>
            <w:vMerge w:val="restart"/>
            <w:shd w:val="clear" w:color="auto" w:fill="2D53A6"/>
          </w:tcPr>
          <w:p>
            <w:pPr>
              <w:jc w:val="right"/>
              <w:ind w:right="250"/>
              <w:spacing w:after="0"/>
              <w:rPr>
                <w:sz w:val="20"/>
                <w:szCs w:val="20"/>
                <w:color w:val="auto"/>
              </w:rPr>
            </w:pPr>
            <w:r>
              <w:rPr>
                <w:rFonts w:ascii="Arial" w:cs="Arial" w:eastAsia="Arial" w:hAnsi="Arial"/>
                <w:sz w:val="18"/>
                <w:szCs w:val="18"/>
                <w:b w:val="1"/>
                <w:bCs w:val="1"/>
                <w:color w:val="FFFFFF"/>
              </w:rPr>
              <w:t>Fees Earned or</w:t>
            </w:r>
          </w:p>
        </w:tc>
        <w:tc>
          <w:tcPr>
            <w:tcW w:w="1940" w:type="dxa"/>
            <w:vAlign w:val="bottom"/>
            <w:tcBorders>
              <w:right w:val="single" w:sz="8" w:color="2D53A6"/>
            </w:tcBorders>
            <w:vMerge w:val="restart"/>
            <w:shd w:val="clear" w:color="auto" w:fill="2D53A6"/>
          </w:tcPr>
          <w:p>
            <w:pPr>
              <w:jc w:val="right"/>
              <w:ind w:right="172"/>
              <w:spacing w:after="0"/>
              <w:rPr>
                <w:sz w:val="20"/>
                <w:szCs w:val="20"/>
                <w:color w:val="auto"/>
              </w:rPr>
            </w:pPr>
            <w:r>
              <w:rPr>
                <w:rFonts w:ascii="Arial" w:cs="Arial" w:eastAsia="Arial" w:hAnsi="Arial"/>
                <w:sz w:val="18"/>
                <w:szCs w:val="18"/>
                <w:b w:val="1"/>
                <w:bCs w:val="1"/>
                <w:color w:val="FFFFFF"/>
              </w:rPr>
              <w:t>Stock Awards ($)</w:t>
            </w:r>
          </w:p>
        </w:tc>
        <w:tc>
          <w:tcPr>
            <w:tcW w:w="19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All Other</w:t>
            </w:r>
          </w:p>
        </w:tc>
        <w:tc>
          <w:tcPr>
            <w:tcW w:w="1920" w:type="dxa"/>
            <w:vAlign w:val="bottom"/>
            <w:vMerge w:val="restart"/>
            <w:shd w:val="clear" w:color="auto" w:fill="2D53A6"/>
          </w:tcPr>
          <w:p>
            <w:pPr>
              <w:jc w:val="right"/>
              <w:ind w:right="530"/>
              <w:spacing w:after="0"/>
              <w:rPr>
                <w:sz w:val="20"/>
                <w:szCs w:val="20"/>
                <w:color w:val="auto"/>
              </w:rPr>
            </w:pPr>
            <w:r>
              <w:rPr>
                <w:rFonts w:ascii="Arial" w:cs="Arial" w:eastAsia="Arial" w:hAnsi="Arial"/>
                <w:sz w:val="18"/>
                <w:szCs w:val="18"/>
                <w:b w:val="1"/>
                <w:bCs w:val="1"/>
                <w:color w:val="FFFFFF"/>
              </w:rPr>
              <w:t>Total ($)</w:t>
            </w:r>
          </w:p>
        </w:tc>
        <w:tc>
          <w:tcPr>
            <w:tcW w:w="0" w:type="dxa"/>
            <w:vAlign w:val="bottom"/>
          </w:tcPr>
          <w:p>
            <w:pPr>
              <w:spacing w:after="0"/>
              <w:rPr>
                <w:sz w:val="1"/>
                <w:szCs w:val="1"/>
                <w:color w:val="auto"/>
              </w:rPr>
            </w:pPr>
          </w:p>
        </w:tc>
      </w:tr>
      <w:tr>
        <w:trPr>
          <w:trHeight w:val="81"/>
        </w:trPr>
        <w:tc>
          <w:tcPr>
            <w:tcW w:w="3460" w:type="dxa"/>
            <w:vAlign w:val="bottom"/>
            <w:tcBorders>
              <w:right w:val="single" w:sz="8" w:color="2D53A6"/>
            </w:tcBorders>
            <w:vMerge w:val="continue"/>
            <w:shd w:val="clear" w:color="auto" w:fill="2D53A6"/>
          </w:tcPr>
          <w:p>
            <w:pPr>
              <w:spacing w:after="0"/>
              <w:rPr>
                <w:sz w:val="7"/>
                <w:szCs w:val="7"/>
                <w:color w:val="auto"/>
              </w:rPr>
            </w:pPr>
          </w:p>
        </w:tc>
        <w:tc>
          <w:tcPr>
            <w:tcW w:w="1940" w:type="dxa"/>
            <w:vAlign w:val="bottom"/>
            <w:tcBorders>
              <w:right w:val="single" w:sz="8" w:color="2D53A6"/>
            </w:tcBorders>
            <w:vMerge w:val="continue"/>
            <w:shd w:val="clear" w:color="auto" w:fill="2D53A6"/>
          </w:tcPr>
          <w:p>
            <w:pPr>
              <w:spacing w:after="0"/>
              <w:rPr>
                <w:sz w:val="7"/>
                <w:szCs w:val="7"/>
                <w:color w:val="auto"/>
              </w:rPr>
            </w:pPr>
          </w:p>
        </w:tc>
        <w:tc>
          <w:tcPr>
            <w:tcW w:w="1940" w:type="dxa"/>
            <w:vAlign w:val="bottom"/>
            <w:tcBorders>
              <w:right w:val="single" w:sz="8" w:color="2D53A6"/>
            </w:tcBorders>
            <w:vMerge w:val="continue"/>
            <w:shd w:val="clear" w:color="auto" w:fill="2D53A6"/>
          </w:tcPr>
          <w:p>
            <w:pPr>
              <w:spacing w:after="0"/>
              <w:rPr>
                <w:sz w:val="7"/>
                <w:szCs w:val="7"/>
                <w:color w:val="auto"/>
              </w:rPr>
            </w:pPr>
          </w:p>
        </w:tc>
        <w:tc>
          <w:tcPr>
            <w:tcW w:w="19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Compensation ($)</w:t>
            </w:r>
          </w:p>
        </w:tc>
        <w:tc>
          <w:tcPr>
            <w:tcW w:w="1920" w:type="dxa"/>
            <w:vAlign w:val="bottom"/>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460" w:type="dxa"/>
            <w:vAlign w:val="bottom"/>
            <w:tcBorders>
              <w:right w:val="single" w:sz="8" w:color="2D53A6"/>
            </w:tcBorders>
            <w:vMerge w:val="continue"/>
            <w:shd w:val="clear" w:color="auto" w:fill="2D53A6"/>
          </w:tcPr>
          <w:p>
            <w:pPr>
              <w:spacing w:after="0"/>
              <w:rPr>
                <w:sz w:val="10"/>
                <w:szCs w:val="10"/>
                <w:color w:val="auto"/>
              </w:rPr>
            </w:pPr>
          </w:p>
        </w:tc>
        <w:tc>
          <w:tcPr>
            <w:tcW w:w="1940" w:type="dxa"/>
            <w:vAlign w:val="bottom"/>
            <w:tcBorders>
              <w:right w:val="single" w:sz="8" w:color="2D53A6"/>
            </w:tcBorders>
            <w:vMerge w:val="restart"/>
            <w:shd w:val="clear" w:color="auto" w:fill="2D53A6"/>
          </w:tcPr>
          <w:p>
            <w:pPr>
              <w:jc w:val="right"/>
              <w:ind w:right="210"/>
              <w:spacing w:after="0"/>
              <w:rPr>
                <w:sz w:val="20"/>
                <w:szCs w:val="20"/>
                <w:color w:val="auto"/>
              </w:rPr>
            </w:pPr>
            <w:r>
              <w:rPr>
                <w:rFonts w:ascii="Arial" w:cs="Arial" w:eastAsia="Arial" w:hAnsi="Arial"/>
                <w:sz w:val="18"/>
                <w:szCs w:val="18"/>
                <w:b w:val="1"/>
                <w:bCs w:val="1"/>
                <w:color w:val="FFFFFF"/>
              </w:rPr>
              <w:t>Paid in Cash ($)</w:t>
            </w:r>
          </w:p>
        </w:tc>
        <w:tc>
          <w:tcPr>
            <w:tcW w:w="1940" w:type="dxa"/>
            <w:vAlign w:val="bottom"/>
            <w:tcBorders>
              <w:right w:val="single" w:sz="8" w:color="2D53A6"/>
            </w:tcBorders>
            <w:vMerge w:val="restart"/>
            <w:shd w:val="clear" w:color="auto" w:fill="2D53A6"/>
          </w:tcPr>
          <w:p>
            <w:pPr>
              <w:jc w:val="right"/>
              <w:ind w:right="792"/>
              <w:spacing w:after="0"/>
              <w:rPr>
                <w:sz w:val="20"/>
                <w:szCs w:val="20"/>
                <w:color w:val="auto"/>
              </w:rPr>
            </w:pPr>
            <w:r>
              <w:rPr>
                <w:rFonts w:ascii="Arial" w:cs="Arial" w:eastAsia="Arial" w:hAnsi="Arial"/>
                <w:sz w:val="15"/>
                <w:szCs w:val="15"/>
                <w:b w:val="1"/>
                <w:bCs w:val="1"/>
                <w:color w:val="FFFFFF"/>
              </w:rPr>
              <w:t>(1)</w:t>
            </w:r>
          </w:p>
        </w:tc>
        <w:tc>
          <w:tcPr>
            <w:tcW w:w="1980" w:type="dxa"/>
            <w:vAlign w:val="bottom"/>
            <w:tcBorders>
              <w:right w:val="single" w:sz="8" w:color="2D53A6"/>
            </w:tcBorders>
            <w:vMerge w:val="continue"/>
            <w:shd w:val="clear" w:color="auto" w:fill="2D53A6"/>
          </w:tcPr>
          <w:p>
            <w:pPr>
              <w:spacing w:after="0"/>
              <w:rPr>
                <w:sz w:val="10"/>
                <w:szCs w:val="10"/>
                <w:color w:val="auto"/>
              </w:rPr>
            </w:pPr>
          </w:p>
        </w:tc>
        <w:tc>
          <w:tcPr>
            <w:tcW w:w="1920" w:type="dxa"/>
            <w:vAlign w:val="bottom"/>
            <w:vMerge w:val="continue"/>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60" w:type="dxa"/>
            <w:vAlign w:val="bottom"/>
            <w:tcBorders>
              <w:right w:val="single" w:sz="8" w:color="2D53A6"/>
            </w:tcBorders>
            <w:shd w:val="clear" w:color="auto" w:fill="2D53A6"/>
          </w:tcPr>
          <w:p>
            <w:pPr>
              <w:spacing w:after="0"/>
              <w:rPr>
                <w:sz w:val="10"/>
                <w:szCs w:val="10"/>
                <w:color w:val="auto"/>
              </w:rPr>
            </w:pPr>
          </w:p>
        </w:tc>
        <w:tc>
          <w:tcPr>
            <w:tcW w:w="1940" w:type="dxa"/>
            <w:vAlign w:val="bottom"/>
            <w:tcBorders>
              <w:right w:val="single" w:sz="8" w:color="2D53A6"/>
            </w:tcBorders>
            <w:vMerge w:val="continue"/>
            <w:shd w:val="clear" w:color="auto" w:fill="2D53A6"/>
          </w:tcPr>
          <w:p>
            <w:pPr>
              <w:spacing w:after="0"/>
              <w:rPr>
                <w:sz w:val="10"/>
                <w:szCs w:val="10"/>
                <w:color w:val="auto"/>
              </w:rPr>
            </w:pPr>
          </w:p>
        </w:tc>
        <w:tc>
          <w:tcPr>
            <w:tcW w:w="1940" w:type="dxa"/>
            <w:vAlign w:val="bottom"/>
            <w:tcBorders>
              <w:right w:val="single" w:sz="8" w:color="2D53A6"/>
            </w:tcBorders>
            <w:vMerge w:val="continue"/>
            <w:shd w:val="clear" w:color="auto" w:fill="2D53A6"/>
          </w:tcPr>
          <w:p>
            <w:pPr>
              <w:spacing w:after="0"/>
              <w:rPr>
                <w:sz w:val="10"/>
                <w:szCs w:val="10"/>
                <w:color w:val="auto"/>
              </w:rPr>
            </w:pPr>
          </w:p>
        </w:tc>
        <w:tc>
          <w:tcPr>
            <w:tcW w:w="19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5"/>
                <w:szCs w:val="15"/>
                <w:b w:val="1"/>
                <w:bCs w:val="1"/>
                <w:color w:val="FFFFFF"/>
                <w:w w:val="97"/>
              </w:rPr>
              <w:t>(2)</w:t>
            </w:r>
          </w:p>
        </w:tc>
        <w:tc>
          <w:tcPr>
            <w:tcW w:w="1920" w:type="dxa"/>
            <w:vAlign w:val="bottom"/>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460" w:type="dxa"/>
            <w:vAlign w:val="bottom"/>
            <w:tcBorders>
              <w:bottom w:val="single" w:sz="8" w:color="2D53A6"/>
              <w:right w:val="single" w:sz="8" w:color="2D53A6"/>
            </w:tcBorders>
            <w:shd w:val="clear" w:color="auto" w:fill="2D53A6"/>
          </w:tcPr>
          <w:p>
            <w:pPr>
              <w:spacing w:after="0"/>
              <w:rPr>
                <w:sz w:val="8"/>
                <w:szCs w:val="8"/>
                <w:color w:val="auto"/>
              </w:rPr>
            </w:pPr>
          </w:p>
        </w:tc>
        <w:tc>
          <w:tcPr>
            <w:tcW w:w="1940" w:type="dxa"/>
            <w:vAlign w:val="bottom"/>
            <w:tcBorders>
              <w:bottom w:val="single" w:sz="8" w:color="2D53A6"/>
              <w:right w:val="single" w:sz="8" w:color="2D53A6"/>
            </w:tcBorders>
            <w:shd w:val="clear" w:color="auto" w:fill="2D53A6"/>
          </w:tcPr>
          <w:p>
            <w:pPr>
              <w:spacing w:after="0"/>
              <w:rPr>
                <w:sz w:val="8"/>
                <w:szCs w:val="8"/>
                <w:color w:val="auto"/>
              </w:rPr>
            </w:pPr>
          </w:p>
        </w:tc>
        <w:tc>
          <w:tcPr>
            <w:tcW w:w="1940" w:type="dxa"/>
            <w:vAlign w:val="bottom"/>
            <w:tcBorders>
              <w:bottom w:val="single" w:sz="8" w:color="2D53A6"/>
              <w:right w:val="single" w:sz="8" w:color="2D53A6"/>
            </w:tcBorders>
            <w:shd w:val="clear" w:color="auto" w:fill="2D53A6"/>
          </w:tcPr>
          <w:p>
            <w:pPr>
              <w:spacing w:after="0"/>
              <w:rPr>
                <w:sz w:val="8"/>
                <w:szCs w:val="8"/>
                <w:color w:val="auto"/>
              </w:rPr>
            </w:pPr>
          </w:p>
        </w:tc>
        <w:tc>
          <w:tcPr>
            <w:tcW w:w="1980" w:type="dxa"/>
            <w:vAlign w:val="bottom"/>
            <w:tcBorders>
              <w:bottom w:val="single" w:sz="8" w:color="2D53A6"/>
              <w:right w:val="single" w:sz="8" w:color="2D53A6"/>
            </w:tcBorders>
            <w:vMerge w:val="continue"/>
            <w:shd w:val="clear" w:color="auto" w:fill="2D53A6"/>
          </w:tcPr>
          <w:p>
            <w:pPr>
              <w:spacing w:after="0"/>
              <w:rPr>
                <w:sz w:val="8"/>
                <w:szCs w:val="8"/>
                <w:color w:val="auto"/>
              </w:rPr>
            </w:pPr>
          </w:p>
        </w:tc>
        <w:tc>
          <w:tcPr>
            <w:tcW w:w="1920" w:type="dxa"/>
            <w:vAlign w:val="bottom"/>
            <w:tcBorders>
              <w:bottom w:val="single" w:sz="8" w:color="2D53A6"/>
            </w:tcBorders>
            <w:shd w:val="clear" w:color="auto" w:fill="2D53A6"/>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346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William E. Bendush</w:t>
            </w:r>
          </w:p>
        </w:tc>
        <w:tc>
          <w:tcPr>
            <w:tcW w:w="1940" w:type="dxa"/>
            <w:vAlign w:val="bottom"/>
            <w:tcBorders>
              <w:right w:val="single" w:sz="8" w:color="2D53A6"/>
            </w:tcBorders>
          </w:tcPr>
          <w:p>
            <w:pPr>
              <w:jc w:val="right"/>
              <w:ind w:right="110"/>
              <w:spacing w:after="0"/>
              <w:rPr>
                <w:sz w:val="20"/>
                <w:szCs w:val="20"/>
                <w:color w:val="auto"/>
              </w:rPr>
            </w:pPr>
            <w:r>
              <w:rPr>
                <w:rFonts w:ascii="Arial" w:cs="Arial" w:eastAsia="Arial" w:hAnsi="Arial"/>
                <w:sz w:val="18"/>
                <w:szCs w:val="18"/>
                <w:color w:val="auto"/>
              </w:rPr>
              <w:t>90,000</w:t>
            </w:r>
          </w:p>
        </w:tc>
        <w:tc>
          <w:tcPr>
            <w:tcW w:w="1940" w:type="dxa"/>
            <w:vAlign w:val="bottom"/>
            <w:tcBorders>
              <w:right w:val="single" w:sz="8" w:color="2D53A6"/>
            </w:tcBorders>
          </w:tcPr>
          <w:p>
            <w:pPr>
              <w:jc w:val="right"/>
              <w:ind w:right="112"/>
              <w:spacing w:after="0"/>
              <w:rPr>
                <w:sz w:val="20"/>
                <w:szCs w:val="20"/>
                <w:color w:val="auto"/>
              </w:rPr>
            </w:pPr>
            <w:r>
              <w:rPr>
                <w:rFonts w:ascii="Arial" w:cs="Arial" w:eastAsia="Arial" w:hAnsi="Arial"/>
                <w:sz w:val="18"/>
                <w:szCs w:val="18"/>
                <w:color w:val="auto"/>
              </w:rPr>
              <w:t>161,851</w:t>
            </w:r>
          </w:p>
        </w:tc>
        <w:tc>
          <w:tcPr>
            <w:tcW w:w="1980" w:type="dxa"/>
            <w:vAlign w:val="bottom"/>
            <w:tcBorders>
              <w:right w:val="single" w:sz="8" w:color="2D53A6"/>
            </w:tcBorders>
          </w:tcPr>
          <w:p>
            <w:pPr>
              <w:jc w:val="right"/>
              <w:ind w:right="111"/>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90"/>
              <w:spacing w:after="0"/>
              <w:rPr>
                <w:sz w:val="20"/>
                <w:szCs w:val="20"/>
                <w:color w:val="auto"/>
              </w:rPr>
            </w:pPr>
            <w:r>
              <w:rPr>
                <w:rFonts w:ascii="Arial" w:cs="Arial" w:eastAsia="Arial" w:hAnsi="Arial"/>
                <w:sz w:val="18"/>
                <w:szCs w:val="18"/>
                <w:color w:val="auto"/>
              </w:rPr>
              <w:t>251,851</w:t>
            </w:r>
          </w:p>
        </w:tc>
        <w:tc>
          <w:tcPr>
            <w:tcW w:w="0" w:type="dxa"/>
            <w:vAlign w:val="bottom"/>
          </w:tcPr>
          <w:p>
            <w:pPr>
              <w:spacing w:after="0"/>
              <w:rPr>
                <w:sz w:val="1"/>
                <w:szCs w:val="1"/>
                <w:color w:val="auto"/>
              </w:rPr>
            </w:pPr>
          </w:p>
        </w:tc>
      </w:tr>
      <w:tr>
        <w:trPr>
          <w:trHeight w:val="23"/>
        </w:trPr>
        <w:tc>
          <w:tcPr>
            <w:tcW w:w="3460" w:type="dxa"/>
            <w:vAlign w:val="bottom"/>
            <w:tcBorders>
              <w:bottom w:val="single" w:sz="8" w:color="2D53A6"/>
              <w:right w:val="single" w:sz="8" w:color="2D53A6"/>
            </w:tcBorders>
          </w:tcPr>
          <w:p>
            <w:pPr>
              <w:spacing w:after="0"/>
              <w:rPr>
                <w:sz w:val="2"/>
                <w:szCs w:val="2"/>
                <w:color w:val="auto"/>
              </w:rPr>
            </w:pPr>
          </w:p>
        </w:tc>
        <w:tc>
          <w:tcPr>
            <w:tcW w:w="1940" w:type="dxa"/>
            <w:vAlign w:val="bottom"/>
            <w:tcBorders>
              <w:bottom w:val="single" w:sz="8" w:color="2D53A6"/>
              <w:right w:val="single" w:sz="8" w:color="2D53A6"/>
            </w:tcBorders>
          </w:tcPr>
          <w:p>
            <w:pPr>
              <w:spacing w:after="0"/>
              <w:rPr>
                <w:sz w:val="2"/>
                <w:szCs w:val="2"/>
                <w:color w:val="auto"/>
              </w:rPr>
            </w:pPr>
          </w:p>
        </w:tc>
        <w:tc>
          <w:tcPr>
            <w:tcW w:w="1940" w:type="dxa"/>
            <w:vAlign w:val="bottom"/>
            <w:tcBorders>
              <w:bottom w:val="single" w:sz="8" w:color="2D53A6"/>
              <w:right w:val="single" w:sz="8" w:color="2D53A6"/>
            </w:tcBorders>
          </w:tcPr>
          <w:p>
            <w:pPr>
              <w:spacing w:after="0"/>
              <w:rPr>
                <w:sz w:val="2"/>
                <w:szCs w:val="2"/>
                <w:color w:val="auto"/>
              </w:rPr>
            </w:pPr>
          </w:p>
        </w:tc>
        <w:tc>
          <w:tcPr>
            <w:tcW w:w="1980" w:type="dxa"/>
            <w:vAlign w:val="bottom"/>
            <w:tcBorders>
              <w:bottom w:val="single" w:sz="8" w:color="2D53A6"/>
              <w:right w:val="single" w:sz="8" w:color="2D53A6"/>
            </w:tcBorders>
          </w:tcPr>
          <w:p>
            <w:pPr>
              <w:spacing w:after="0"/>
              <w:rPr>
                <w:sz w:val="2"/>
                <w:szCs w:val="2"/>
                <w:color w:val="auto"/>
              </w:rPr>
            </w:pPr>
          </w:p>
        </w:tc>
        <w:tc>
          <w:tcPr>
            <w:tcW w:w="192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46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 xml:space="preserve">Steven J. Bilodeau </w:t>
            </w:r>
            <w:r>
              <w:rPr>
                <w:rFonts w:ascii="Arial" w:cs="Arial" w:eastAsia="Arial" w:hAnsi="Arial"/>
                <w:sz w:val="14"/>
                <w:szCs w:val="14"/>
                <w:color w:val="auto"/>
              </w:rPr>
              <w:t>(3)</w:t>
            </w:r>
          </w:p>
        </w:tc>
        <w:tc>
          <w:tcPr>
            <w:tcW w:w="1940" w:type="dxa"/>
            <w:vAlign w:val="bottom"/>
            <w:tcBorders>
              <w:bottom w:val="single" w:sz="8" w:color="E6E6E6"/>
              <w:right w:val="single" w:sz="8" w:color="2D53A6"/>
            </w:tcBorders>
            <w:shd w:val="clear" w:color="auto" w:fill="E6E6E6"/>
          </w:tcPr>
          <w:p>
            <w:pPr>
              <w:jc w:val="right"/>
              <w:ind w:right="110"/>
              <w:spacing w:after="0"/>
              <w:rPr>
                <w:sz w:val="20"/>
                <w:szCs w:val="20"/>
                <w:color w:val="auto"/>
              </w:rPr>
            </w:pPr>
            <w:r>
              <w:rPr>
                <w:rFonts w:ascii="Arial" w:cs="Arial" w:eastAsia="Arial" w:hAnsi="Arial"/>
                <w:sz w:val="18"/>
                <w:szCs w:val="18"/>
                <w:color w:val="auto"/>
              </w:rPr>
              <w:t>101,500</w:t>
            </w:r>
          </w:p>
        </w:tc>
        <w:tc>
          <w:tcPr>
            <w:tcW w:w="1940" w:type="dxa"/>
            <w:vAlign w:val="bottom"/>
            <w:tcBorders>
              <w:bottom w:val="single" w:sz="8" w:color="E6E6E6"/>
              <w:right w:val="single" w:sz="8" w:color="2D53A6"/>
            </w:tcBorders>
            <w:shd w:val="clear" w:color="auto" w:fill="E6E6E6"/>
          </w:tcPr>
          <w:p>
            <w:pPr>
              <w:jc w:val="right"/>
              <w:ind w:right="112"/>
              <w:spacing w:after="0"/>
              <w:rPr>
                <w:sz w:val="20"/>
                <w:szCs w:val="20"/>
                <w:color w:val="auto"/>
              </w:rPr>
            </w:pPr>
            <w:r>
              <w:rPr>
                <w:rFonts w:ascii="Arial" w:cs="Arial" w:eastAsia="Arial" w:hAnsi="Arial"/>
                <w:sz w:val="18"/>
                <w:szCs w:val="18"/>
                <w:color w:val="auto"/>
              </w:rPr>
              <w:t>161,851</w:t>
            </w:r>
          </w:p>
        </w:tc>
        <w:tc>
          <w:tcPr>
            <w:tcW w:w="1980" w:type="dxa"/>
            <w:vAlign w:val="bottom"/>
            <w:tcBorders>
              <w:bottom w:val="single" w:sz="8" w:color="E6E6E6"/>
              <w:right w:val="single" w:sz="8" w:color="2D53A6"/>
            </w:tcBorders>
            <w:shd w:val="clear" w:color="auto" w:fill="E6E6E6"/>
          </w:tcPr>
          <w:p>
            <w:pPr>
              <w:jc w:val="right"/>
              <w:ind w:right="111"/>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E6E6E6"/>
            </w:tcBorders>
            <w:shd w:val="clear" w:color="auto" w:fill="E6E6E6"/>
          </w:tcPr>
          <w:p>
            <w:pPr>
              <w:jc w:val="right"/>
              <w:ind w:right="90"/>
              <w:spacing w:after="0"/>
              <w:rPr>
                <w:sz w:val="20"/>
                <w:szCs w:val="20"/>
                <w:color w:val="auto"/>
              </w:rPr>
            </w:pPr>
            <w:r>
              <w:rPr>
                <w:rFonts w:ascii="Arial" w:cs="Arial" w:eastAsia="Arial" w:hAnsi="Arial"/>
                <w:sz w:val="18"/>
                <w:szCs w:val="18"/>
                <w:color w:val="auto"/>
              </w:rPr>
              <w:t>263,351</w:t>
            </w:r>
          </w:p>
        </w:tc>
        <w:tc>
          <w:tcPr>
            <w:tcW w:w="0" w:type="dxa"/>
            <w:vAlign w:val="bottom"/>
          </w:tcPr>
          <w:p>
            <w:pPr>
              <w:spacing w:after="0"/>
              <w:rPr>
                <w:sz w:val="1"/>
                <w:szCs w:val="1"/>
                <w:color w:val="auto"/>
              </w:rPr>
            </w:pPr>
          </w:p>
        </w:tc>
      </w:tr>
      <w:tr>
        <w:trPr>
          <w:trHeight w:val="254"/>
        </w:trPr>
        <w:tc>
          <w:tcPr>
            <w:tcW w:w="346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 xml:space="preserve">Andrew M. Caggia </w:t>
            </w:r>
            <w:r>
              <w:rPr>
                <w:rFonts w:ascii="Arial" w:cs="Arial" w:eastAsia="Arial" w:hAnsi="Arial"/>
                <w:sz w:val="14"/>
                <w:szCs w:val="14"/>
                <w:color w:val="auto"/>
              </w:rPr>
              <w:t>(3)</w:t>
            </w:r>
          </w:p>
        </w:tc>
        <w:tc>
          <w:tcPr>
            <w:tcW w:w="1940" w:type="dxa"/>
            <w:vAlign w:val="bottom"/>
            <w:tcBorders>
              <w:top w:val="single" w:sz="8" w:color="2D53A6"/>
              <w:right w:val="single" w:sz="8" w:color="2D53A6"/>
            </w:tcBorders>
          </w:tcPr>
          <w:p>
            <w:pPr>
              <w:jc w:val="right"/>
              <w:ind w:right="110"/>
              <w:spacing w:after="0"/>
              <w:rPr>
                <w:sz w:val="20"/>
                <w:szCs w:val="20"/>
                <w:color w:val="auto"/>
              </w:rPr>
            </w:pPr>
            <w:r>
              <w:rPr>
                <w:rFonts w:ascii="Arial" w:cs="Arial" w:eastAsia="Arial" w:hAnsi="Arial"/>
                <w:sz w:val="18"/>
                <w:szCs w:val="18"/>
                <w:color w:val="auto"/>
              </w:rPr>
              <w:t>74,423</w:t>
            </w:r>
          </w:p>
        </w:tc>
        <w:tc>
          <w:tcPr>
            <w:tcW w:w="1940" w:type="dxa"/>
            <w:vAlign w:val="bottom"/>
            <w:tcBorders>
              <w:top w:val="single" w:sz="8" w:color="2D53A6"/>
              <w:right w:val="single" w:sz="8" w:color="2D53A6"/>
            </w:tcBorders>
          </w:tcPr>
          <w:p>
            <w:pPr>
              <w:jc w:val="right"/>
              <w:ind w:right="112"/>
              <w:spacing w:after="0"/>
              <w:rPr>
                <w:sz w:val="20"/>
                <w:szCs w:val="20"/>
                <w:color w:val="auto"/>
              </w:rPr>
            </w:pPr>
            <w:r>
              <w:rPr>
                <w:rFonts w:ascii="Arial" w:cs="Arial" w:eastAsia="Arial" w:hAnsi="Arial"/>
                <w:sz w:val="18"/>
                <w:szCs w:val="18"/>
                <w:color w:val="auto"/>
              </w:rPr>
              <w:t>161,851</w:t>
            </w:r>
          </w:p>
        </w:tc>
        <w:tc>
          <w:tcPr>
            <w:tcW w:w="1980" w:type="dxa"/>
            <w:vAlign w:val="bottom"/>
            <w:tcBorders>
              <w:top w:val="single" w:sz="8" w:color="2D53A6"/>
              <w:right w:val="single" w:sz="8" w:color="2D53A6"/>
            </w:tcBorders>
          </w:tcPr>
          <w:p>
            <w:pPr>
              <w:jc w:val="right"/>
              <w:ind w:right="111"/>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2D53A6"/>
            </w:tcBorders>
          </w:tcPr>
          <w:p>
            <w:pPr>
              <w:jc w:val="right"/>
              <w:ind w:right="90"/>
              <w:spacing w:after="0"/>
              <w:rPr>
                <w:sz w:val="20"/>
                <w:szCs w:val="20"/>
                <w:color w:val="auto"/>
              </w:rPr>
            </w:pPr>
            <w:r>
              <w:rPr>
                <w:rFonts w:ascii="Arial" w:cs="Arial" w:eastAsia="Arial" w:hAnsi="Arial"/>
                <w:sz w:val="18"/>
                <w:szCs w:val="18"/>
                <w:color w:val="auto"/>
              </w:rPr>
              <w:t>236,274</w:t>
            </w:r>
          </w:p>
        </w:tc>
        <w:tc>
          <w:tcPr>
            <w:tcW w:w="0" w:type="dxa"/>
            <w:vAlign w:val="bottom"/>
          </w:tcPr>
          <w:p>
            <w:pPr>
              <w:spacing w:after="0"/>
              <w:rPr>
                <w:sz w:val="1"/>
                <w:szCs w:val="1"/>
                <w:color w:val="auto"/>
              </w:rPr>
            </w:pPr>
          </w:p>
        </w:tc>
      </w:tr>
      <w:tr>
        <w:trPr>
          <w:trHeight w:val="23"/>
        </w:trPr>
        <w:tc>
          <w:tcPr>
            <w:tcW w:w="3460" w:type="dxa"/>
            <w:vAlign w:val="bottom"/>
            <w:tcBorders>
              <w:bottom w:val="single" w:sz="8" w:color="2D53A6"/>
              <w:right w:val="single" w:sz="8" w:color="2D53A6"/>
            </w:tcBorders>
          </w:tcPr>
          <w:p>
            <w:pPr>
              <w:spacing w:after="0"/>
              <w:rPr>
                <w:sz w:val="2"/>
                <w:szCs w:val="2"/>
                <w:color w:val="auto"/>
              </w:rPr>
            </w:pPr>
          </w:p>
        </w:tc>
        <w:tc>
          <w:tcPr>
            <w:tcW w:w="1940" w:type="dxa"/>
            <w:vAlign w:val="bottom"/>
            <w:tcBorders>
              <w:bottom w:val="single" w:sz="8" w:color="2D53A6"/>
              <w:right w:val="single" w:sz="8" w:color="2D53A6"/>
            </w:tcBorders>
          </w:tcPr>
          <w:p>
            <w:pPr>
              <w:spacing w:after="0"/>
              <w:rPr>
                <w:sz w:val="2"/>
                <w:szCs w:val="2"/>
                <w:color w:val="auto"/>
              </w:rPr>
            </w:pPr>
          </w:p>
        </w:tc>
        <w:tc>
          <w:tcPr>
            <w:tcW w:w="1940" w:type="dxa"/>
            <w:vAlign w:val="bottom"/>
            <w:tcBorders>
              <w:bottom w:val="single" w:sz="8" w:color="2D53A6"/>
              <w:right w:val="single" w:sz="8" w:color="2D53A6"/>
            </w:tcBorders>
          </w:tcPr>
          <w:p>
            <w:pPr>
              <w:spacing w:after="0"/>
              <w:rPr>
                <w:sz w:val="2"/>
                <w:szCs w:val="2"/>
                <w:color w:val="auto"/>
              </w:rPr>
            </w:pPr>
          </w:p>
        </w:tc>
        <w:tc>
          <w:tcPr>
            <w:tcW w:w="1980" w:type="dxa"/>
            <w:vAlign w:val="bottom"/>
            <w:tcBorders>
              <w:bottom w:val="single" w:sz="8" w:color="2D53A6"/>
              <w:right w:val="single" w:sz="8" w:color="2D53A6"/>
            </w:tcBorders>
          </w:tcPr>
          <w:p>
            <w:pPr>
              <w:spacing w:after="0"/>
              <w:rPr>
                <w:sz w:val="2"/>
                <w:szCs w:val="2"/>
                <w:color w:val="auto"/>
              </w:rPr>
            </w:pPr>
          </w:p>
        </w:tc>
        <w:tc>
          <w:tcPr>
            <w:tcW w:w="192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46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James A. Donahue</w:t>
            </w:r>
          </w:p>
        </w:tc>
        <w:tc>
          <w:tcPr>
            <w:tcW w:w="1940" w:type="dxa"/>
            <w:vAlign w:val="bottom"/>
            <w:tcBorders>
              <w:bottom w:val="single" w:sz="8" w:color="E6E6E6"/>
              <w:right w:val="single" w:sz="8" w:color="2D53A6"/>
            </w:tcBorders>
            <w:shd w:val="clear" w:color="auto" w:fill="E6E6E6"/>
          </w:tcPr>
          <w:p>
            <w:pPr>
              <w:jc w:val="right"/>
              <w:ind w:right="110"/>
              <w:spacing w:after="0"/>
              <w:rPr>
                <w:sz w:val="20"/>
                <w:szCs w:val="20"/>
                <w:color w:val="auto"/>
              </w:rPr>
            </w:pPr>
            <w:r>
              <w:rPr>
                <w:rFonts w:ascii="Arial" w:cs="Arial" w:eastAsia="Arial" w:hAnsi="Arial"/>
                <w:sz w:val="18"/>
                <w:szCs w:val="18"/>
                <w:color w:val="auto"/>
              </w:rPr>
              <w:t>110,000</w:t>
            </w:r>
          </w:p>
        </w:tc>
        <w:tc>
          <w:tcPr>
            <w:tcW w:w="1940" w:type="dxa"/>
            <w:vAlign w:val="bottom"/>
            <w:tcBorders>
              <w:bottom w:val="single" w:sz="8" w:color="E6E6E6"/>
              <w:right w:val="single" w:sz="8" w:color="2D53A6"/>
            </w:tcBorders>
            <w:shd w:val="clear" w:color="auto" w:fill="E6E6E6"/>
          </w:tcPr>
          <w:p>
            <w:pPr>
              <w:jc w:val="right"/>
              <w:ind w:right="112"/>
              <w:spacing w:after="0"/>
              <w:rPr>
                <w:sz w:val="20"/>
                <w:szCs w:val="20"/>
                <w:color w:val="auto"/>
              </w:rPr>
            </w:pPr>
            <w:r>
              <w:rPr>
                <w:rFonts w:ascii="Arial" w:cs="Arial" w:eastAsia="Arial" w:hAnsi="Arial"/>
                <w:sz w:val="18"/>
                <w:szCs w:val="18"/>
                <w:color w:val="auto"/>
              </w:rPr>
              <w:t>161,851</w:t>
            </w:r>
          </w:p>
        </w:tc>
        <w:tc>
          <w:tcPr>
            <w:tcW w:w="1980" w:type="dxa"/>
            <w:vAlign w:val="bottom"/>
            <w:tcBorders>
              <w:bottom w:val="single" w:sz="8" w:color="E6E6E6"/>
              <w:right w:val="single" w:sz="8" w:color="2D53A6"/>
            </w:tcBorders>
            <w:shd w:val="clear" w:color="auto" w:fill="E6E6E6"/>
          </w:tcPr>
          <w:p>
            <w:pPr>
              <w:jc w:val="right"/>
              <w:ind w:right="111"/>
              <w:spacing w:after="0"/>
              <w:rPr>
                <w:sz w:val="20"/>
                <w:szCs w:val="20"/>
                <w:color w:val="auto"/>
              </w:rPr>
            </w:pPr>
            <w:r>
              <w:rPr>
                <w:rFonts w:ascii="Arial" w:cs="Arial" w:eastAsia="Arial" w:hAnsi="Arial"/>
                <w:sz w:val="18"/>
                <w:szCs w:val="18"/>
                <w:color w:val="auto"/>
              </w:rPr>
              <w:t>30,280</w:t>
            </w:r>
          </w:p>
        </w:tc>
        <w:tc>
          <w:tcPr>
            <w:tcW w:w="1920" w:type="dxa"/>
            <w:vAlign w:val="bottom"/>
            <w:tcBorders>
              <w:bottom w:val="single" w:sz="8" w:color="E6E6E6"/>
            </w:tcBorders>
            <w:shd w:val="clear" w:color="auto" w:fill="E6E6E6"/>
          </w:tcPr>
          <w:p>
            <w:pPr>
              <w:jc w:val="right"/>
              <w:ind w:right="90"/>
              <w:spacing w:after="0"/>
              <w:rPr>
                <w:sz w:val="20"/>
                <w:szCs w:val="20"/>
                <w:color w:val="auto"/>
              </w:rPr>
            </w:pPr>
            <w:r>
              <w:rPr>
                <w:rFonts w:ascii="Arial" w:cs="Arial" w:eastAsia="Arial" w:hAnsi="Arial"/>
                <w:sz w:val="18"/>
                <w:szCs w:val="18"/>
                <w:color w:val="auto"/>
              </w:rPr>
              <w:t>302,131</w:t>
            </w:r>
          </w:p>
        </w:tc>
        <w:tc>
          <w:tcPr>
            <w:tcW w:w="0" w:type="dxa"/>
            <w:vAlign w:val="bottom"/>
          </w:tcPr>
          <w:p>
            <w:pPr>
              <w:spacing w:after="0"/>
              <w:rPr>
                <w:sz w:val="1"/>
                <w:szCs w:val="1"/>
                <w:color w:val="auto"/>
              </w:rPr>
            </w:pPr>
          </w:p>
        </w:tc>
      </w:tr>
      <w:tr>
        <w:trPr>
          <w:trHeight w:val="254"/>
        </w:trPr>
        <w:tc>
          <w:tcPr>
            <w:tcW w:w="346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Yon Y. Jorden</w:t>
            </w:r>
          </w:p>
        </w:tc>
        <w:tc>
          <w:tcPr>
            <w:tcW w:w="1940" w:type="dxa"/>
            <w:vAlign w:val="bottom"/>
            <w:tcBorders>
              <w:top w:val="single" w:sz="8" w:color="2D53A6"/>
              <w:right w:val="single" w:sz="8" w:color="2D53A6"/>
            </w:tcBorders>
          </w:tcPr>
          <w:p>
            <w:pPr>
              <w:jc w:val="right"/>
              <w:ind w:right="110"/>
              <w:spacing w:after="0"/>
              <w:rPr>
                <w:sz w:val="20"/>
                <w:szCs w:val="20"/>
                <w:color w:val="auto"/>
              </w:rPr>
            </w:pPr>
            <w:r>
              <w:rPr>
                <w:rFonts w:ascii="Arial" w:cs="Arial" w:eastAsia="Arial" w:hAnsi="Arial"/>
                <w:sz w:val="18"/>
                <w:szCs w:val="18"/>
                <w:color w:val="auto"/>
              </w:rPr>
              <w:t>75,000</w:t>
            </w:r>
          </w:p>
        </w:tc>
        <w:tc>
          <w:tcPr>
            <w:tcW w:w="1940" w:type="dxa"/>
            <w:vAlign w:val="bottom"/>
            <w:tcBorders>
              <w:top w:val="single" w:sz="8" w:color="2D53A6"/>
              <w:right w:val="single" w:sz="8" w:color="2D53A6"/>
            </w:tcBorders>
          </w:tcPr>
          <w:p>
            <w:pPr>
              <w:jc w:val="right"/>
              <w:ind w:right="112"/>
              <w:spacing w:after="0"/>
              <w:rPr>
                <w:sz w:val="20"/>
                <w:szCs w:val="20"/>
                <w:color w:val="auto"/>
              </w:rPr>
            </w:pPr>
            <w:r>
              <w:rPr>
                <w:rFonts w:ascii="Arial" w:cs="Arial" w:eastAsia="Arial" w:hAnsi="Arial"/>
                <w:sz w:val="18"/>
                <w:szCs w:val="18"/>
                <w:color w:val="auto"/>
              </w:rPr>
              <w:t>161,851</w:t>
            </w:r>
          </w:p>
        </w:tc>
        <w:tc>
          <w:tcPr>
            <w:tcW w:w="1980" w:type="dxa"/>
            <w:vAlign w:val="bottom"/>
            <w:tcBorders>
              <w:top w:val="single" w:sz="8" w:color="2D53A6"/>
              <w:right w:val="single" w:sz="8" w:color="2D53A6"/>
            </w:tcBorders>
          </w:tcPr>
          <w:p>
            <w:pPr>
              <w:jc w:val="right"/>
              <w:ind w:right="111"/>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2D53A6"/>
            </w:tcBorders>
          </w:tcPr>
          <w:p>
            <w:pPr>
              <w:jc w:val="right"/>
              <w:ind w:right="90"/>
              <w:spacing w:after="0"/>
              <w:rPr>
                <w:sz w:val="20"/>
                <w:szCs w:val="20"/>
                <w:color w:val="auto"/>
              </w:rPr>
            </w:pPr>
            <w:r>
              <w:rPr>
                <w:rFonts w:ascii="Arial" w:cs="Arial" w:eastAsia="Arial" w:hAnsi="Arial"/>
                <w:sz w:val="18"/>
                <w:szCs w:val="18"/>
                <w:color w:val="auto"/>
              </w:rPr>
              <w:t>236,851</w:t>
            </w:r>
          </w:p>
        </w:tc>
        <w:tc>
          <w:tcPr>
            <w:tcW w:w="0" w:type="dxa"/>
            <w:vAlign w:val="bottom"/>
          </w:tcPr>
          <w:p>
            <w:pPr>
              <w:spacing w:after="0"/>
              <w:rPr>
                <w:sz w:val="1"/>
                <w:szCs w:val="1"/>
                <w:color w:val="auto"/>
              </w:rPr>
            </w:pPr>
          </w:p>
        </w:tc>
      </w:tr>
      <w:tr>
        <w:trPr>
          <w:trHeight w:val="23"/>
        </w:trPr>
        <w:tc>
          <w:tcPr>
            <w:tcW w:w="3460" w:type="dxa"/>
            <w:vAlign w:val="bottom"/>
            <w:tcBorders>
              <w:bottom w:val="single" w:sz="8" w:color="2D53A6"/>
              <w:right w:val="single" w:sz="8" w:color="2D53A6"/>
            </w:tcBorders>
          </w:tcPr>
          <w:p>
            <w:pPr>
              <w:spacing w:after="0"/>
              <w:rPr>
                <w:sz w:val="2"/>
                <w:szCs w:val="2"/>
                <w:color w:val="auto"/>
              </w:rPr>
            </w:pPr>
          </w:p>
        </w:tc>
        <w:tc>
          <w:tcPr>
            <w:tcW w:w="1940" w:type="dxa"/>
            <w:vAlign w:val="bottom"/>
            <w:tcBorders>
              <w:bottom w:val="single" w:sz="8" w:color="2D53A6"/>
              <w:right w:val="single" w:sz="8" w:color="2D53A6"/>
            </w:tcBorders>
          </w:tcPr>
          <w:p>
            <w:pPr>
              <w:spacing w:after="0"/>
              <w:rPr>
                <w:sz w:val="2"/>
                <w:szCs w:val="2"/>
                <w:color w:val="auto"/>
              </w:rPr>
            </w:pPr>
          </w:p>
        </w:tc>
        <w:tc>
          <w:tcPr>
            <w:tcW w:w="1940" w:type="dxa"/>
            <w:vAlign w:val="bottom"/>
            <w:tcBorders>
              <w:bottom w:val="single" w:sz="8" w:color="2D53A6"/>
              <w:right w:val="single" w:sz="8" w:color="2D53A6"/>
            </w:tcBorders>
          </w:tcPr>
          <w:p>
            <w:pPr>
              <w:spacing w:after="0"/>
              <w:rPr>
                <w:sz w:val="2"/>
                <w:szCs w:val="2"/>
                <w:color w:val="auto"/>
              </w:rPr>
            </w:pPr>
          </w:p>
        </w:tc>
        <w:tc>
          <w:tcPr>
            <w:tcW w:w="1980" w:type="dxa"/>
            <w:vAlign w:val="bottom"/>
            <w:tcBorders>
              <w:bottom w:val="single" w:sz="8" w:color="2D53A6"/>
              <w:right w:val="single" w:sz="8" w:color="2D53A6"/>
            </w:tcBorders>
          </w:tcPr>
          <w:p>
            <w:pPr>
              <w:spacing w:after="0"/>
              <w:rPr>
                <w:sz w:val="2"/>
                <w:szCs w:val="2"/>
                <w:color w:val="auto"/>
              </w:rPr>
            </w:pPr>
          </w:p>
        </w:tc>
        <w:tc>
          <w:tcPr>
            <w:tcW w:w="192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46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Andreas W. Mattes</w:t>
            </w:r>
          </w:p>
        </w:tc>
        <w:tc>
          <w:tcPr>
            <w:tcW w:w="1940" w:type="dxa"/>
            <w:vAlign w:val="bottom"/>
            <w:tcBorders>
              <w:bottom w:val="single" w:sz="8" w:color="E6E6E6"/>
              <w:right w:val="single" w:sz="8" w:color="2D53A6"/>
            </w:tcBorders>
            <w:shd w:val="clear" w:color="auto" w:fill="E6E6E6"/>
          </w:tcPr>
          <w:p>
            <w:pPr>
              <w:jc w:val="right"/>
              <w:ind w:right="110"/>
              <w:spacing w:after="0"/>
              <w:rPr>
                <w:sz w:val="20"/>
                <w:szCs w:val="20"/>
                <w:color w:val="auto"/>
              </w:rPr>
            </w:pPr>
            <w:r>
              <w:rPr>
                <w:rFonts w:ascii="Arial" w:cs="Arial" w:eastAsia="Arial" w:hAnsi="Arial"/>
                <w:sz w:val="18"/>
                <w:szCs w:val="18"/>
                <w:color w:val="auto"/>
              </w:rPr>
              <w:t>67,500</w:t>
            </w:r>
          </w:p>
        </w:tc>
        <w:tc>
          <w:tcPr>
            <w:tcW w:w="1940" w:type="dxa"/>
            <w:vAlign w:val="bottom"/>
            <w:tcBorders>
              <w:bottom w:val="single" w:sz="8" w:color="E6E6E6"/>
              <w:right w:val="single" w:sz="8" w:color="2D53A6"/>
            </w:tcBorders>
            <w:shd w:val="clear" w:color="auto" w:fill="E6E6E6"/>
          </w:tcPr>
          <w:p>
            <w:pPr>
              <w:jc w:val="right"/>
              <w:ind w:right="112"/>
              <w:spacing w:after="0"/>
              <w:rPr>
                <w:sz w:val="20"/>
                <w:szCs w:val="20"/>
                <w:color w:val="auto"/>
              </w:rPr>
            </w:pPr>
            <w:r>
              <w:rPr>
                <w:rFonts w:ascii="Arial" w:cs="Arial" w:eastAsia="Arial" w:hAnsi="Arial"/>
                <w:sz w:val="18"/>
                <w:szCs w:val="18"/>
                <w:color w:val="auto"/>
              </w:rPr>
              <w:t>161,851</w:t>
            </w:r>
          </w:p>
        </w:tc>
        <w:tc>
          <w:tcPr>
            <w:tcW w:w="1980" w:type="dxa"/>
            <w:vAlign w:val="bottom"/>
            <w:tcBorders>
              <w:bottom w:val="single" w:sz="8" w:color="E6E6E6"/>
              <w:right w:val="single" w:sz="8" w:color="2D53A6"/>
            </w:tcBorders>
            <w:shd w:val="clear" w:color="auto" w:fill="E6E6E6"/>
          </w:tcPr>
          <w:p>
            <w:pPr>
              <w:jc w:val="right"/>
              <w:ind w:right="111"/>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E6E6E6"/>
            </w:tcBorders>
            <w:shd w:val="clear" w:color="auto" w:fill="E6E6E6"/>
          </w:tcPr>
          <w:p>
            <w:pPr>
              <w:jc w:val="right"/>
              <w:ind w:right="90"/>
              <w:spacing w:after="0"/>
              <w:rPr>
                <w:sz w:val="20"/>
                <w:szCs w:val="20"/>
                <w:color w:val="auto"/>
              </w:rPr>
            </w:pPr>
            <w:r>
              <w:rPr>
                <w:rFonts w:ascii="Arial" w:cs="Arial" w:eastAsia="Arial" w:hAnsi="Arial"/>
                <w:sz w:val="18"/>
                <w:szCs w:val="18"/>
                <w:color w:val="auto"/>
              </w:rPr>
              <w:t>229,351</w:t>
            </w:r>
          </w:p>
        </w:tc>
        <w:tc>
          <w:tcPr>
            <w:tcW w:w="0" w:type="dxa"/>
            <w:vAlign w:val="bottom"/>
          </w:tcPr>
          <w:p>
            <w:pPr>
              <w:spacing w:after="0"/>
              <w:rPr>
                <w:sz w:val="1"/>
                <w:szCs w:val="1"/>
                <w:color w:val="auto"/>
              </w:rPr>
            </w:pPr>
          </w:p>
        </w:tc>
      </w:tr>
      <w:tr>
        <w:trPr>
          <w:trHeight w:val="254"/>
        </w:trPr>
        <w:tc>
          <w:tcPr>
            <w:tcW w:w="346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 xml:space="preserve">Karen M. Rapp </w:t>
            </w:r>
            <w:r>
              <w:rPr>
                <w:rFonts w:ascii="Arial" w:cs="Arial" w:eastAsia="Arial" w:hAnsi="Arial"/>
                <w:sz w:val="14"/>
                <w:szCs w:val="14"/>
                <w:color w:val="auto"/>
              </w:rPr>
              <w:t>(4)</w:t>
            </w:r>
          </w:p>
        </w:tc>
        <w:tc>
          <w:tcPr>
            <w:tcW w:w="1940" w:type="dxa"/>
            <w:vAlign w:val="bottom"/>
            <w:tcBorders>
              <w:top w:val="single" w:sz="8" w:color="2D53A6"/>
              <w:right w:val="single" w:sz="8" w:color="2D53A6"/>
            </w:tcBorders>
          </w:tcPr>
          <w:p>
            <w:pPr>
              <w:jc w:val="right"/>
              <w:ind w:right="110"/>
              <w:spacing w:after="0"/>
              <w:rPr>
                <w:sz w:val="20"/>
                <w:szCs w:val="20"/>
                <w:color w:val="auto"/>
              </w:rPr>
            </w:pPr>
            <w:r>
              <w:rPr>
                <w:rFonts w:ascii="Arial" w:cs="Arial" w:eastAsia="Arial" w:hAnsi="Arial"/>
                <w:sz w:val="18"/>
                <w:szCs w:val="18"/>
                <w:color w:val="auto"/>
              </w:rPr>
              <w:t>45,000</w:t>
            </w:r>
          </w:p>
        </w:tc>
        <w:tc>
          <w:tcPr>
            <w:tcW w:w="1940" w:type="dxa"/>
            <w:vAlign w:val="bottom"/>
            <w:tcBorders>
              <w:top w:val="single" w:sz="8" w:color="2D53A6"/>
              <w:right w:val="single" w:sz="8" w:color="2D53A6"/>
            </w:tcBorders>
          </w:tcPr>
          <w:p>
            <w:pPr>
              <w:jc w:val="right"/>
              <w:ind w:right="112"/>
              <w:spacing w:after="0"/>
              <w:rPr>
                <w:sz w:val="20"/>
                <w:szCs w:val="20"/>
                <w:color w:val="auto"/>
              </w:rPr>
            </w:pPr>
            <w:r>
              <w:rPr>
                <w:rFonts w:ascii="Arial" w:cs="Arial" w:eastAsia="Arial" w:hAnsi="Arial"/>
                <w:sz w:val="18"/>
                <w:szCs w:val="18"/>
                <w:color w:val="auto"/>
              </w:rPr>
              <w:t>173,506</w:t>
            </w:r>
          </w:p>
        </w:tc>
        <w:tc>
          <w:tcPr>
            <w:tcW w:w="1980" w:type="dxa"/>
            <w:vAlign w:val="bottom"/>
            <w:tcBorders>
              <w:top w:val="single" w:sz="8" w:color="2D53A6"/>
              <w:right w:val="single" w:sz="8" w:color="2D53A6"/>
            </w:tcBorders>
          </w:tcPr>
          <w:p>
            <w:pPr>
              <w:jc w:val="right"/>
              <w:ind w:right="111"/>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2D53A6"/>
            </w:tcBorders>
          </w:tcPr>
          <w:p>
            <w:pPr>
              <w:jc w:val="right"/>
              <w:ind w:right="90"/>
              <w:spacing w:after="0"/>
              <w:rPr>
                <w:sz w:val="20"/>
                <w:szCs w:val="20"/>
                <w:color w:val="auto"/>
              </w:rPr>
            </w:pPr>
            <w:r>
              <w:rPr>
                <w:rFonts w:ascii="Arial" w:cs="Arial" w:eastAsia="Arial" w:hAnsi="Arial"/>
                <w:sz w:val="18"/>
                <w:szCs w:val="18"/>
                <w:color w:val="auto"/>
              </w:rPr>
              <w:t>218,506</w:t>
            </w:r>
          </w:p>
        </w:tc>
        <w:tc>
          <w:tcPr>
            <w:tcW w:w="0" w:type="dxa"/>
            <w:vAlign w:val="bottom"/>
          </w:tcPr>
          <w:p>
            <w:pPr>
              <w:spacing w:after="0"/>
              <w:rPr>
                <w:sz w:val="1"/>
                <w:szCs w:val="1"/>
                <w:color w:val="auto"/>
              </w:rPr>
            </w:pPr>
          </w:p>
        </w:tc>
      </w:tr>
      <w:tr>
        <w:trPr>
          <w:trHeight w:val="23"/>
        </w:trPr>
        <w:tc>
          <w:tcPr>
            <w:tcW w:w="3460" w:type="dxa"/>
            <w:vAlign w:val="bottom"/>
            <w:tcBorders>
              <w:bottom w:val="single" w:sz="8" w:color="2D53A6"/>
              <w:right w:val="single" w:sz="8" w:color="2D53A6"/>
            </w:tcBorders>
          </w:tcPr>
          <w:p>
            <w:pPr>
              <w:spacing w:after="0"/>
              <w:rPr>
                <w:sz w:val="2"/>
                <w:szCs w:val="2"/>
                <w:color w:val="auto"/>
              </w:rPr>
            </w:pPr>
          </w:p>
        </w:tc>
        <w:tc>
          <w:tcPr>
            <w:tcW w:w="1940" w:type="dxa"/>
            <w:vAlign w:val="bottom"/>
            <w:tcBorders>
              <w:bottom w:val="single" w:sz="8" w:color="2D53A6"/>
              <w:right w:val="single" w:sz="8" w:color="2D53A6"/>
            </w:tcBorders>
          </w:tcPr>
          <w:p>
            <w:pPr>
              <w:spacing w:after="0"/>
              <w:rPr>
                <w:sz w:val="2"/>
                <w:szCs w:val="2"/>
                <w:color w:val="auto"/>
              </w:rPr>
            </w:pPr>
          </w:p>
        </w:tc>
        <w:tc>
          <w:tcPr>
            <w:tcW w:w="1940" w:type="dxa"/>
            <w:vAlign w:val="bottom"/>
            <w:tcBorders>
              <w:bottom w:val="single" w:sz="8" w:color="2D53A6"/>
              <w:right w:val="single" w:sz="8" w:color="2D53A6"/>
            </w:tcBorders>
          </w:tcPr>
          <w:p>
            <w:pPr>
              <w:spacing w:after="0"/>
              <w:rPr>
                <w:sz w:val="2"/>
                <w:szCs w:val="2"/>
                <w:color w:val="auto"/>
              </w:rPr>
            </w:pPr>
          </w:p>
        </w:tc>
        <w:tc>
          <w:tcPr>
            <w:tcW w:w="1980" w:type="dxa"/>
            <w:vAlign w:val="bottom"/>
            <w:tcBorders>
              <w:bottom w:val="single" w:sz="8" w:color="2D53A6"/>
              <w:right w:val="single" w:sz="8" w:color="2D53A6"/>
            </w:tcBorders>
          </w:tcPr>
          <w:p>
            <w:pPr>
              <w:spacing w:after="0"/>
              <w:rPr>
                <w:sz w:val="2"/>
                <w:szCs w:val="2"/>
                <w:color w:val="auto"/>
              </w:rPr>
            </w:pPr>
          </w:p>
        </w:tc>
        <w:tc>
          <w:tcPr>
            <w:tcW w:w="192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 xml:space="preserve">Nina L. Richardson </w:t>
            </w:r>
            <w:r>
              <w:rPr>
                <w:rFonts w:ascii="Arial" w:cs="Arial" w:eastAsia="Arial" w:hAnsi="Arial"/>
                <w:sz w:val="14"/>
                <w:szCs w:val="14"/>
                <w:color w:val="auto"/>
              </w:rPr>
              <w:t>(3)</w:t>
            </w:r>
          </w:p>
        </w:tc>
        <w:tc>
          <w:tcPr>
            <w:tcW w:w="1940" w:type="dxa"/>
            <w:vAlign w:val="bottom"/>
            <w:tcBorders>
              <w:bottom w:val="single" w:sz="8" w:color="E6E6E6"/>
              <w:right w:val="single" w:sz="8" w:color="2D53A6"/>
            </w:tcBorders>
            <w:shd w:val="clear" w:color="auto" w:fill="E6E6E6"/>
          </w:tcPr>
          <w:p>
            <w:pPr>
              <w:jc w:val="right"/>
              <w:ind w:right="110"/>
              <w:spacing w:after="0"/>
              <w:rPr>
                <w:sz w:val="20"/>
                <w:szCs w:val="20"/>
                <w:color w:val="auto"/>
              </w:rPr>
            </w:pPr>
            <w:r>
              <w:rPr>
                <w:rFonts w:ascii="Arial" w:cs="Arial" w:eastAsia="Arial" w:hAnsi="Arial"/>
                <w:sz w:val="18"/>
                <w:szCs w:val="18"/>
                <w:color w:val="auto"/>
              </w:rPr>
              <w:t>67,500</w:t>
            </w:r>
          </w:p>
        </w:tc>
        <w:tc>
          <w:tcPr>
            <w:tcW w:w="1940" w:type="dxa"/>
            <w:vAlign w:val="bottom"/>
            <w:tcBorders>
              <w:bottom w:val="single" w:sz="8" w:color="E6E6E6"/>
              <w:right w:val="single" w:sz="8" w:color="2D53A6"/>
            </w:tcBorders>
            <w:shd w:val="clear" w:color="auto" w:fill="E6E6E6"/>
          </w:tcPr>
          <w:p>
            <w:pPr>
              <w:jc w:val="right"/>
              <w:ind w:right="112"/>
              <w:spacing w:after="0"/>
              <w:rPr>
                <w:sz w:val="20"/>
                <w:szCs w:val="20"/>
                <w:color w:val="auto"/>
              </w:rPr>
            </w:pPr>
            <w:r>
              <w:rPr>
                <w:rFonts w:ascii="Arial" w:cs="Arial" w:eastAsia="Arial" w:hAnsi="Arial"/>
                <w:sz w:val="18"/>
                <w:szCs w:val="18"/>
                <w:color w:val="auto"/>
              </w:rPr>
              <w:t>161,851</w:t>
            </w:r>
          </w:p>
        </w:tc>
        <w:tc>
          <w:tcPr>
            <w:tcW w:w="1980" w:type="dxa"/>
            <w:vAlign w:val="bottom"/>
            <w:tcBorders>
              <w:bottom w:val="single" w:sz="8" w:color="E6E6E6"/>
              <w:right w:val="single" w:sz="8" w:color="2D53A6"/>
            </w:tcBorders>
            <w:shd w:val="clear" w:color="auto" w:fill="E6E6E6"/>
          </w:tcPr>
          <w:p>
            <w:pPr>
              <w:jc w:val="right"/>
              <w:ind w:right="111"/>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E6E6E6"/>
            </w:tcBorders>
            <w:shd w:val="clear" w:color="auto" w:fill="E6E6E6"/>
          </w:tcPr>
          <w:p>
            <w:pPr>
              <w:jc w:val="right"/>
              <w:ind w:right="90"/>
              <w:spacing w:after="0"/>
              <w:rPr>
                <w:sz w:val="20"/>
                <w:szCs w:val="20"/>
                <w:color w:val="auto"/>
              </w:rPr>
            </w:pPr>
            <w:r>
              <w:rPr>
                <w:rFonts w:ascii="Arial" w:cs="Arial" w:eastAsia="Arial" w:hAnsi="Arial"/>
                <w:sz w:val="18"/>
                <w:szCs w:val="18"/>
                <w:color w:val="auto"/>
              </w:rPr>
              <w:t>229,351</w:t>
            </w:r>
          </w:p>
        </w:tc>
        <w:tc>
          <w:tcPr>
            <w:tcW w:w="0" w:type="dxa"/>
            <w:vAlign w:val="bottom"/>
          </w:tcPr>
          <w:p>
            <w:pPr>
              <w:spacing w:after="0"/>
              <w:rPr>
                <w:sz w:val="1"/>
                <w:szCs w:val="1"/>
                <w:color w:val="auto"/>
              </w:rPr>
            </w:pPr>
          </w:p>
        </w:tc>
      </w:tr>
      <w:tr>
        <w:trPr>
          <w:trHeight w:val="20"/>
        </w:trPr>
        <w:tc>
          <w:tcPr>
            <w:tcW w:w="3460" w:type="dxa"/>
            <w:vAlign w:val="bottom"/>
            <w:tcBorders>
              <w:right w:val="single" w:sz="8" w:color="2D53A6"/>
            </w:tcBorders>
            <w:shd w:val="clear" w:color="auto" w:fill="2D53A6"/>
          </w:tcPr>
          <w:p>
            <w:pPr>
              <w:spacing w:after="0" w:line="20" w:lineRule="exact"/>
              <w:rPr>
                <w:sz w:val="1"/>
                <w:szCs w:val="1"/>
                <w:color w:val="auto"/>
              </w:rPr>
            </w:pPr>
          </w:p>
        </w:tc>
        <w:tc>
          <w:tcPr>
            <w:tcW w:w="1940" w:type="dxa"/>
            <w:vAlign w:val="bottom"/>
            <w:tcBorders>
              <w:right w:val="single" w:sz="8" w:color="2D53A6"/>
            </w:tcBorders>
            <w:shd w:val="clear" w:color="auto" w:fill="2D53A6"/>
          </w:tcPr>
          <w:p>
            <w:pPr>
              <w:spacing w:after="0" w:line="20" w:lineRule="exact"/>
              <w:rPr>
                <w:sz w:val="1"/>
                <w:szCs w:val="1"/>
                <w:color w:val="auto"/>
              </w:rPr>
            </w:pPr>
          </w:p>
        </w:tc>
        <w:tc>
          <w:tcPr>
            <w:tcW w:w="1940" w:type="dxa"/>
            <w:vAlign w:val="bottom"/>
            <w:tcBorders>
              <w:right w:val="single" w:sz="8" w:color="2D53A6"/>
            </w:tcBorders>
            <w:shd w:val="clear" w:color="auto" w:fill="2D53A6"/>
          </w:tcPr>
          <w:p>
            <w:pPr>
              <w:spacing w:after="0" w:line="20" w:lineRule="exact"/>
              <w:rPr>
                <w:sz w:val="1"/>
                <w:szCs w:val="1"/>
                <w:color w:val="auto"/>
              </w:rPr>
            </w:pPr>
          </w:p>
        </w:tc>
        <w:tc>
          <w:tcPr>
            <w:tcW w:w="1980" w:type="dxa"/>
            <w:vAlign w:val="bottom"/>
            <w:tcBorders>
              <w:right w:val="single" w:sz="8" w:color="2D53A6"/>
            </w:tcBorders>
            <w:shd w:val="clear" w:color="auto" w:fill="2D53A6"/>
          </w:tcPr>
          <w:p>
            <w:pPr>
              <w:spacing w:after="0" w:line="20" w:lineRule="exact"/>
              <w:rPr>
                <w:sz w:val="1"/>
                <w:szCs w:val="1"/>
                <w:color w:val="auto"/>
              </w:rPr>
            </w:pPr>
          </w:p>
        </w:tc>
        <w:tc>
          <w:tcPr>
            <w:tcW w:w="1920" w:type="dxa"/>
            <w:vAlign w:val="bottom"/>
            <w:shd w:val="clear" w:color="auto" w:fill="2D53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right="60" w:hanging="332"/>
        <w:spacing w:after="0" w:line="244"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amounts shown do not reflect the compensation actually received by the directors. Instead, the amounts above are the grant date fair value for stock awards issued in the form of RSUs granted in fiscal year 2024 calculated in accordance with FASB ASC Topic 718. The assumptions used to calculate the grant date fair value of the stock awards are set forth in Note 6, “Employee Benefit Plans”, included in Part IV, Item 15(a) of Cohu’s Annual Report on Form 10-K for the year ended December 28, 2024, filed with the SEC. The derived grant date fair value for the stock award is recognized, for financial statement purposes, over the number of days of service required for the award to vest in full. As of December 28, 2024, Mses. Jorden, Rapp and Richardson had 4,918, 5,321 and 4,918 unvested RSUs outstanding, respectively, and Messrs. Bendush, Bilodeau, Caggia, Donahue each had 4,918 and Mr. Mattes had 5,822 unvested RSUs outstanding.</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amount shown for Mr. Donahue is for reimbursement of health insurance premiums and other medical costs for him and his spouse not covered by insurance.</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During the year ended December 28, 2024, Mr. Caggia elected to defer his cash director fees. The deferred amounts are credited in the form of DSU awards and ultimately payable in shares of Cohu common stock, if the director ceases to be a director for any reason, upon the occurrence of a change in control of Cohu or at a future date selected at the time of deferral. As of December 28, 2024, Ms. Richardson and Messrs. Bilodeau and Caggia had 11,992, 28,480 and 41,473 DSUs, respectively.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Ms. Rapp was appointed to the Board effective May 6, 2024.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36"/>
          <w:szCs w:val="36"/>
          <w:b w:val="1"/>
          <w:bCs w:val="1"/>
          <w:color w:val="FFFFFF"/>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265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2D53A6"/>
        </w:rPr>
        <w:t>Executive Compensation and Other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2D53A6"/>
        </w:rPr>
        <w:t>Compensation Discussion and Analysis</w:t>
      </w:r>
    </w:p>
    <w:p>
      <w:pPr>
        <w:spacing w:after="0" w:line="200"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This Compensation Discussion and Analysis (“CD&amp;A”) provides information regarding the 2024 compensation program for our Chief Executive Officer, Chief Financial Officer and our next most highly compensated executive officer of Cohu who was serving at the end of 2024 (there were no other executive officers of Cohu serving at the end of 2024) and one additional individual who was not serving as an executive officer of Cohu at the end of 2024 but was among our next three most highly compensated officers during 2024. These individuals were: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20" w:type="dxa"/>
            <w:vAlign w:val="bottom"/>
            <w:shd w:val="clear" w:color="auto" w:fill="2D53A6"/>
          </w:tcPr>
          <w:p>
            <w:pPr>
              <w:spacing w:after="0"/>
              <w:rPr>
                <w:sz w:val="20"/>
                <w:szCs w:val="20"/>
                <w:color w:val="auto"/>
              </w:rPr>
            </w:pPr>
            <w:r>
              <w:rPr>
                <w:rFonts w:ascii="Arial" w:cs="Arial" w:eastAsia="Arial" w:hAnsi="Arial"/>
                <w:sz w:val="20"/>
                <w:szCs w:val="20"/>
                <w:b w:val="1"/>
                <w:bCs w:val="1"/>
                <w:color w:val="FFFFFF"/>
              </w:rPr>
              <w:t>Named Executive Officer</w:t>
            </w:r>
          </w:p>
        </w:tc>
        <w:tc>
          <w:tcPr>
            <w:tcW w:w="7720" w:type="dxa"/>
            <w:vAlign w:val="bottom"/>
            <w:shd w:val="clear" w:color="auto" w:fill="2D53A6"/>
          </w:tcPr>
          <w:p>
            <w:pPr>
              <w:ind w:left="1200"/>
              <w:spacing w:after="0"/>
              <w:rPr>
                <w:sz w:val="20"/>
                <w:szCs w:val="20"/>
                <w:color w:val="auto"/>
              </w:rPr>
            </w:pPr>
            <w:r>
              <w:rPr>
                <w:rFonts w:ascii="Arial" w:cs="Arial" w:eastAsia="Arial" w:hAnsi="Arial"/>
                <w:sz w:val="20"/>
                <w:szCs w:val="20"/>
                <w:b w:val="1"/>
                <w:bCs w:val="1"/>
                <w:color w:val="FFFFFF"/>
              </w:rPr>
              <w:t>Position(s)</w:t>
            </w:r>
          </w:p>
        </w:tc>
      </w:tr>
      <w:tr>
        <w:trPr>
          <w:trHeight w:val="203"/>
        </w:trPr>
        <w:tc>
          <w:tcPr>
            <w:tcW w:w="3520" w:type="dxa"/>
            <w:vAlign w:val="bottom"/>
            <w:tcBorders>
              <w:bottom w:val="single" w:sz="8" w:color="2D53A6"/>
            </w:tcBorders>
          </w:tcPr>
          <w:p>
            <w:pPr>
              <w:spacing w:after="0" w:line="202" w:lineRule="exact"/>
              <w:rPr>
                <w:sz w:val="20"/>
                <w:szCs w:val="20"/>
                <w:color w:val="auto"/>
              </w:rPr>
            </w:pPr>
            <w:r>
              <w:rPr>
                <w:rFonts w:ascii="Arial" w:cs="Arial" w:eastAsia="Arial" w:hAnsi="Arial"/>
                <w:sz w:val="18"/>
                <w:szCs w:val="18"/>
                <w:color w:val="auto"/>
              </w:rPr>
              <w:t>Luis A. Müller</w:t>
            </w:r>
          </w:p>
        </w:tc>
        <w:tc>
          <w:tcPr>
            <w:tcW w:w="7720" w:type="dxa"/>
            <w:vAlign w:val="bottom"/>
            <w:tcBorders>
              <w:bottom w:val="single" w:sz="8" w:color="2D53A6"/>
            </w:tcBorders>
          </w:tcPr>
          <w:p>
            <w:pPr>
              <w:ind w:left="1200"/>
              <w:spacing w:after="0" w:line="202" w:lineRule="exact"/>
              <w:rPr>
                <w:sz w:val="20"/>
                <w:szCs w:val="20"/>
                <w:color w:val="auto"/>
              </w:rPr>
            </w:pPr>
            <w:r>
              <w:rPr>
                <w:rFonts w:ascii="Arial" w:cs="Arial" w:eastAsia="Arial" w:hAnsi="Arial"/>
                <w:sz w:val="18"/>
                <w:szCs w:val="18"/>
                <w:color w:val="auto"/>
              </w:rPr>
              <w:t>President and Chief Executive Officer (our “CEO”)</w:t>
            </w:r>
          </w:p>
        </w:tc>
      </w:tr>
      <w:tr>
        <w:trPr>
          <w:trHeight w:val="196"/>
        </w:trPr>
        <w:tc>
          <w:tcPr>
            <w:tcW w:w="3520" w:type="dxa"/>
            <w:vAlign w:val="bottom"/>
            <w:tcBorders>
              <w:bottom w:val="single" w:sz="8" w:color="2D53A6"/>
            </w:tcBorders>
            <w:shd w:val="clear" w:color="auto" w:fill="E6E6E6"/>
          </w:tcPr>
          <w:p>
            <w:pPr>
              <w:spacing w:after="0" w:line="196" w:lineRule="exact"/>
              <w:rPr>
                <w:sz w:val="20"/>
                <w:szCs w:val="20"/>
                <w:color w:val="auto"/>
              </w:rPr>
            </w:pPr>
            <w:r>
              <w:rPr>
                <w:rFonts w:ascii="Arial" w:cs="Arial" w:eastAsia="Arial" w:hAnsi="Arial"/>
                <w:sz w:val="18"/>
                <w:szCs w:val="18"/>
                <w:color w:val="auto"/>
              </w:rPr>
              <w:t>Jeffrey D. Jones</w:t>
            </w:r>
          </w:p>
        </w:tc>
        <w:tc>
          <w:tcPr>
            <w:tcW w:w="7720" w:type="dxa"/>
            <w:vAlign w:val="bottom"/>
            <w:tcBorders>
              <w:bottom w:val="single" w:sz="8" w:color="2D53A6"/>
            </w:tcBorders>
            <w:shd w:val="clear" w:color="auto" w:fill="E6E6E6"/>
          </w:tcPr>
          <w:p>
            <w:pPr>
              <w:ind w:left="1200"/>
              <w:spacing w:after="0" w:line="196" w:lineRule="exact"/>
              <w:rPr>
                <w:sz w:val="20"/>
                <w:szCs w:val="20"/>
                <w:color w:val="auto"/>
              </w:rPr>
            </w:pPr>
            <w:r>
              <w:rPr>
                <w:rFonts w:ascii="Arial" w:cs="Arial" w:eastAsia="Arial" w:hAnsi="Arial"/>
                <w:sz w:val="18"/>
                <w:szCs w:val="18"/>
                <w:color w:val="auto"/>
              </w:rPr>
              <w:t>Senior Vice President Finance and Chief Financial Officer</w:t>
            </w:r>
          </w:p>
        </w:tc>
      </w:tr>
      <w:tr>
        <w:trPr>
          <w:trHeight w:val="196"/>
        </w:trPr>
        <w:tc>
          <w:tcPr>
            <w:tcW w:w="3520" w:type="dxa"/>
            <w:vAlign w:val="bottom"/>
            <w:tcBorders>
              <w:bottom w:val="single" w:sz="8" w:color="2D53A6"/>
            </w:tcBorders>
          </w:tcPr>
          <w:p>
            <w:pPr>
              <w:spacing w:after="0" w:line="196" w:lineRule="exact"/>
              <w:rPr>
                <w:sz w:val="20"/>
                <w:szCs w:val="20"/>
                <w:color w:val="auto"/>
              </w:rPr>
            </w:pPr>
            <w:r>
              <w:rPr>
                <w:rFonts w:ascii="Arial" w:cs="Arial" w:eastAsia="Arial" w:hAnsi="Arial"/>
                <w:sz w:val="18"/>
                <w:szCs w:val="18"/>
                <w:color w:val="auto"/>
              </w:rPr>
              <w:t>Christopher G. Bohrson</w:t>
            </w:r>
          </w:p>
        </w:tc>
        <w:tc>
          <w:tcPr>
            <w:tcW w:w="7720" w:type="dxa"/>
            <w:vAlign w:val="bottom"/>
            <w:tcBorders>
              <w:bottom w:val="single" w:sz="8" w:color="2D53A6"/>
            </w:tcBorders>
          </w:tcPr>
          <w:p>
            <w:pPr>
              <w:ind w:left="1200"/>
              <w:spacing w:after="0" w:line="196" w:lineRule="exact"/>
              <w:rPr>
                <w:sz w:val="20"/>
                <w:szCs w:val="20"/>
                <w:color w:val="auto"/>
              </w:rPr>
            </w:pPr>
            <w:r>
              <w:rPr>
                <w:rFonts w:ascii="Arial" w:cs="Arial" w:eastAsia="Arial" w:hAnsi="Arial"/>
                <w:sz w:val="18"/>
                <w:szCs w:val="18"/>
                <w:color w:val="auto"/>
              </w:rPr>
              <w:t>Senior Vice President and Chief Customer Officer</w:t>
            </w:r>
          </w:p>
        </w:tc>
      </w:tr>
      <w:tr>
        <w:trPr>
          <w:trHeight w:val="196"/>
        </w:trPr>
        <w:tc>
          <w:tcPr>
            <w:tcW w:w="3520" w:type="dxa"/>
            <w:vAlign w:val="bottom"/>
            <w:tcBorders>
              <w:bottom w:val="single" w:sz="8" w:color="2D53A6"/>
            </w:tcBorders>
            <w:shd w:val="clear" w:color="auto" w:fill="E6E6E6"/>
          </w:tcPr>
          <w:p>
            <w:pPr>
              <w:spacing w:after="0" w:line="196" w:lineRule="exact"/>
              <w:rPr>
                <w:sz w:val="20"/>
                <w:szCs w:val="20"/>
                <w:color w:val="auto"/>
              </w:rPr>
            </w:pPr>
            <w:r>
              <w:rPr>
                <w:rFonts w:ascii="Arial" w:cs="Arial" w:eastAsia="Arial" w:hAnsi="Arial"/>
                <w:sz w:val="18"/>
                <w:szCs w:val="18"/>
                <w:color w:val="auto"/>
              </w:rPr>
              <w:t>Thomas D. Kampfer</w:t>
            </w:r>
          </w:p>
        </w:tc>
        <w:tc>
          <w:tcPr>
            <w:tcW w:w="7720" w:type="dxa"/>
            <w:vAlign w:val="bottom"/>
            <w:tcBorders>
              <w:bottom w:val="single" w:sz="8" w:color="2D53A6"/>
            </w:tcBorders>
            <w:shd w:val="clear" w:color="auto" w:fill="E6E6E6"/>
          </w:tcPr>
          <w:p>
            <w:pPr>
              <w:ind w:left="1200"/>
              <w:spacing w:after="0" w:line="196" w:lineRule="exact"/>
              <w:rPr>
                <w:sz w:val="20"/>
                <w:szCs w:val="20"/>
                <w:color w:val="auto"/>
              </w:rPr>
            </w:pPr>
            <w:r>
              <w:rPr>
                <w:rFonts w:ascii="Arial" w:cs="Arial" w:eastAsia="Arial" w:hAnsi="Arial"/>
                <w:sz w:val="18"/>
                <w:szCs w:val="18"/>
                <w:color w:val="auto"/>
              </w:rPr>
              <w:t xml:space="preserve">Senior Vice President Corporate Development </w:t>
            </w:r>
            <w:r>
              <w:rPr>
                <w:rFonts w:ascii="Arial" w:cs="Arial" w:eastAsia="Arial" w:hAnsi="Arial"/>
                <w:sz w:val="14"/>
                <w:szCs w:val="14"/>
                <w:color w:val="auto"/>
              </w:rPr>
              <w:t>(1)</w:t>
            </w:r>
          </w:p>
        </w:tc>
      </w:tr>
    </w:tbl>
    <w:p>
      <w:pPr>
        <w:spacing w:after="0" w:line="184" w:lineRule="exact"/>
        <w:rPr>
          <w:sz w:val="20"/>
          <w:szCs w:val="20"/>
          <w:color w:val="auto"/>
        </w:rPr>
      </w:pPr>
    </w:p>
    <w:p>
      <w:pPr>
        <w:ind w:left="380" w:right="240" w:hanging="318"/>
        <w:spacing w:after="0" w:line="271"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Kampfer’s transitioned to a part-time role as Senior Vice President Corporate Development as of July 15. 2024 and was no longer deemed an executive officer as of that date.</w:t>
      </w:r>
    </w:p>
    <w:p>
      <w:pPr>
        <w:spacing w:after="0" w:line="140"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We refer to our named executive officers collectively in this CD&amp;A and the related compensation tables as our “NEOs”. This CD&amp;A provides an overview of our philosophy and principles that govern our executive compensation program, how we applied those principles in compensating our NEOs for 2024, and how we use our executive compensation program to drive Company performance and alignment with our stockholders. In addition, we explain how and why the Compensation Committee of our Board of Directors, referred to as our “Compensation Committee,” arrived at the specific compensation policies and decisions involving our NEOs during 2024.</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2D53A6"/>
        </w:rPr>
        <w:t>Executive Summary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Business Highlights</w:t>
      </w:r>
    </w:p>
    <w:p>
      <w:pPr>
        <w:spacing w:after="0" w:line="196"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For fiscal year 2024 Cohu generated net sales of $ 401.8 million. During an unexpected continuation of the extended market downturn, Cohu was able to retain healthy gross margins reflecting strong execution in challenging conditions. We made important gains in key development projects and launched new products in each of our major business lines. We also announced the acquisition of Tignis, Inc., which will enhance our software solutions offerings with their artificial intelligence process control and analytics-based monitoring platforms. Some key business outcomes:</w:t>
      </w:r>
    </w:p>
    <w:p>
      <w:pPr>
        <w:spacing w:after="0" w:line="163" w:lineRule="exact"/>
        <w:rPr>
          <w:sz w:val="20"/>
          <w:szCs w:val="20"/>
          <w:color w:val="auto"/>
        </w:rPr>
      </w:pPr>
    </w:p>
    <w:p>
      <w:pPr>
        <w:ind w:left="660" w:hanging="328"/>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Net sales were $401.8 million.</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GAAP gross margin was 44.9%, and non-GAAP gross margin was 45.0% </w:t>
      </w:r>
      <w:r>
        <w:rPr>
          <w:rFonts w:ascii="Arial" w:cs="Arial" w:eastAsia="Arial" w:hAnsi="Arial"/>
          <w:sz w:val="14"/>
          <w:szCs w:val="14"/>
          <w:color w:val="auto"/>
        </w:rPr>
        <w:t>(1)</w:t>
      </w:r>
      <w:r>
        <w:rPr>
          <w:rFonts w:ascii="Arial" w:cs="Arial" w:eastAsia="Arial" w:hAnsi="Arial"/>
          <w:sz w:val="18"/>
          <w:szCs w:val="18"/>
          <w:color w:val="auto"/>
        </w:rPr>
        <w:t>.</w:t>
      </w:r>
    </w:p>
    <w:p>
      <w:pPr>
        <w:ind w:left="660" w:hanging="328"/>
        <w:spacing w:after="0" w:line="23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GAAP pretax loss of (16.2%) of sales, and non-GAAP pretax loss of (0.0%) </w:t>
      </w:r>
      <w:r>
        <w:rPr>
          <w:rFonts w:ascii="Arial" w:cs="Arial" w:eastAsia="Arial" w:hAnsi="Arial"/>
          <w:sz w:val="14"/>
          <w:szCs w:val="14"/>
          <w:color w:val="auto"/>
        </w:rPr>
        <w:t>(1)</w:t>
      </w:r>
      <w:r>
        <w:rPr>
          <w:rFonts w:ascii="Arial" w:cs="Arial" w:eastAsia="Arial" w:hAnsi="Arial"/>
          <w:sz w:val="18"/>
          <w:szCs w:val="18"/>
          <w:color w:val="auto"/>
        </w:rPr>
        <w:t xml:space="preserve"> of sales.</w:t>
      </w:r>
    </w:p>
    <w:p>
      <w:pPr>
        <w:ind w:left="660" w:hanging="328"/>
        <w:spacing w:after="0" w:line="23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Remained cash-flow positive from operations.</w:t>
      </w:r>
    </w:p>
    <w:p>
      <w:pPr>
        <w:ind w:left="660" w:hanging="328"/>
        <w:spacing w:after="0" w:line="23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Paid off term loan B balance early.</w:t>
      </w:r>
    </w:p>
    <w:p>
      <w:pPr>
        <w:ind w:left="660" w:hanging="328"/>
        <w:spacing w:after="0" w:line="23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Returned $26.9 million in capital to stockholders in the form of stock buybacks.</w:t>
      </w:r>
    </w:p>
    <w:p>
      <w:pPr>
        <w:ind w:left="660" w:hanging="328"/>
        <w:spacing w:after="0" w:line="23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Strong net cash position of $5.42 per share at the end of 2024.</w:t>
      </w:r>
    </w:p>
    <w:p>
      <w:pPr>
        <w:ind w:left="660" w:hanging="328"/>
        <w:spacing w:after="0" w:line="23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Announced the acquisition of Tignis, Inc. at the end of 2024.</w:t>
      </w:r>
    </w:p>
    <w:p>
      <w:pPr>
        <w:ind w:left="660" w:hanging="328"/>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Delivered strong operational execution in the face of an extended downcycle in the semiconductor equipment market.</w:t>
      </w:r>
    </w:p>
    <w:p>
      <w:pPr>
        <w:spacing w:after="0" w:line="180" w:lineRule="exact"/>
        <w:rPr>
          <w:rFonts w:ascii="Arial" w:cs="Arial" w:eastAsia="Arial" w:hAnsi="Arial"/>
          <w:sz w:val="18"/>
          <w:szCs w:val="18"/>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for GAAP to non-GAAP reconciliations</w:t>
      </w:r>
      <w:r>
        <w:rPr>
          <w:rFonts w:ascii="Arial" w:cs="Arial" w:eastAsia="Arial" w:hAnsi="Arial"/>
          <w:sz w:val="18"/>
          <w:szCs w:val="18"/>
          <w:i w:val="1"/>
          <w:iCs w:val="1"/>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Key Executive Compensation Actions</w:t>
      </w:r>
    </w:p>
    <w:p>
      <w:pPr>
        <w:spacing w:after="0" w:line="196"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Consistent with our performance and the compensation objectives established for 2024, the Compensation Committee made the following compensation decisions for our NEOs, including our CEO, for 2024:</w:t>
      </w:r>
    </w:p>
    <w:p>
      <w:pPr>
        <w:spacing w:after="0" w:line="140" w:lineRule="exact"/>
        <w:rPr>
          <w:sz w:val="20"/>
          <w:szCs w:val="20"/>
          <w:color w:val="auto"/>
        </w:rPr>
      </w:pPr>
    </w:p>
    <w:p>
      <w:pPr>
        <w:ind w:left="660" w:right="300" w:hanging="328"/>
        <w:spacing w:after="0" w:line="24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Kept base salaries unchanged, as no increases for any NEO was deemed appropriate following a review of compensation market data and in consideration of the continuing softness in the industry;</w:t>
      </w:r>
    </w:p>
    <w:p>
      <w:pPr>
        <w:ind w:left="660" w:hanging="328"/>
        <w:spacing w:after="0" w:line="23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annual cash bonuses were earned or awarded based on 2024 financial results ; and</w:t>
      </w:r>
    </w:p>
    <w:p>
      <w:pPr>
        <w:ind w:left="660" w:right="80" w:hanging="328"/>
        <w:spacing w:after="0" w:line="24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Granted long-term incentive compensation in the form of time-based vesting restricted stock units (“RSUs”) vesting ratably over a three-year period and performance share units (“PSUs”) to be earned based on our total stockholder return (“TSR”) relative to a pre-selected index for a three-year period from 2024 through 2026.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 for Performance</w:t>
      </w:r>
    </w:p>
    <w:p>
      <w:pPr>
        <w:spacing w:after="0" w:line="19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Compensation Committee believes that the compensation of our NEOs for 2024 was reasonable and appropriate, was supported by our performance, and carefully balanced both time-based and performance-based compensation elements. The 2024 compensation objectives for our NEOs were established in February 2024 and in March 2024. The Compensation Committee continued the emphasis on performance-based equity within our long-term incentive program by keeping the proportion of performance-based equity granted to our CEO and other NEOs at 60% of the total target award and the remaining at 40% of the total target award value in time-based equity.</w:t>
      </w:r>
    </w:p>
    <w:p>
      <w:pPr>
        <w:spacing w:after="0" w:line="16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following chart illustrates the mix of elements of the target total direct compensation opportunity for our CEO for 2024. The majority of his compensation, 87%, is considered variable and at risk, 58% is paid upon achievement of certain performance metrics, and only 13% of his total target direct compensation is paid as fixed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110490</wp:posOffset>
            </wp:positionV>
            <wp:extent cx="4149090" cy="25628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14909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Further, the compensation of our NEOs over the previous five years demonstrates the alignment between pay and performance. The variable cash compensation earned by our NEOs for each year from 2020 through 2024 varied from 0% to 193% of their target annual cash incentive opportunities based on our financial performance. Specifically:</w:t>
      </w:r>
    </w:p>
    <w:p>
      <w:pPr>
        <w:spacing w:after="0" w:line="155" w:lineRule="exact"/>
        <w:rPr>
          <w:sz w:val="20"/>
          <w:szCs w:val="20"/>
          <w:color w:val="auto"/>
        </w:rPr>
      </w:pPr>
    </w:p>
    <w:p>
      <w:pPr>
        <w:ind w:left="660" w:right="20" w:hanging="328"/>
        <w:spacing w:after="0" w:line="25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2020 presented unique challenges due to the COVID-19 pandemic and the rapid ramp in business occurring in the second half of the year. Under the variable cash compensation program, our NEOs, including our CEO, earned 103% of their target annual cash incentive opportunities.</w:t>
      </w:r>
    </w:p>
    <w:p>
      <w:pPr>
        <w:spacing w:after="0" w:line="155" w:lineRule="exact"/>
        <w:rPr>
          <w:rFonts w:ascii="Arial" w:cs="Arial" w:eastAsia="Arial" w:hAnsi="Arial"/>
          <w:sz w:val="18"/>
          <w:szCs w:val="18"/>
          <w:color w:val="auto"/>
        </w:rPr>
      </w:pPr>
    </w:p>
    <w:p>
      <w:pPr>
        <w:ind w:left="660" w:right="280" w:hanging="328"/>
        <w:spacing w:after="0" w:line="25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2021 continued to pose COVID-19 pandemic related challenges, yet Cohu still achieved record sales, profitability and order levels resulting in the seventh consecutive year of sales growth. Due to this strong performance, our NEOs, including our CEO, earned 168% of their target annual cash incentive opportunities.</w:t>
      </w:r>
    </w:p>
    <w:p>
      <w:pPr>
        <w:spacing w:after="0" w:line="155" w:lineRule="exact"/>
        <w:rPr>
          <w:rFonts w:ascii="Arial" w:cs="Arial" w:eastAsia="Arial" w:hAnsi="Arial"/>
          <w:sz w:val="18"/>
          <w:szCs w:val="18"/>
          <w:color w:val="auto"/>
        </w:rPr>
      </w:pPr>
    </w:p>
    <w:p>
      <w:pPr>
        <w:ind w:left="660" w:right="480" w:hanging="328"/>
        <w:spacing w:after="0" w:line="25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2022 continued to present supply chain related challenges, inflationary cost pressures and a softening market, yet Cohu still achieved strong profitability. Due to this robust performance in difficult market conditions, our NEOs, including our CEO, earned 193% of their target annual cash incentive opportunities.</w:t>
      </w:r>
    </w:p>
    <w:p>
      <w:pPr>
        <w:spacing w:after="0" w:line="155" w:lineRule="exact"/>
        <w:rPr>
          <w:rFonts w:ascii="Arial" w:cs="Arial" w:eastAsia="Arial" w:hAnsi="Arial"/>
          <w:sz w:val="18"/>
          <w:szCs w:val="18"/>
          <w:color w:val="auto"/>
        </w:rPr>
      </w:pPr>
    </w:p>
    <w:p>
      <w:pPr>
        <w:ind w:left="660" w:right="200" w:hanging="328"/>
        <w:spacing w:after="0" w:line="25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2023 marked the beginning of a downturn in the semiconductor industry, but Cohu was able to achieve improved gross margin results and exceeded our model profitability levels. Due to the adept navigation of these challenges, our NEOs, including our CEO, earned 96% of their target annual cash incentive opportunities.</w:t>
      </w:r>
    </w:p>
    <w:p>
      <w:pPr>
        <w:sectPr>
          <w:pgSz w:w="11900" w:h="16838" w:orient="portrait"/>
          <w:cols w:equalWidth="0" w:num="1">
            <w:col w:w="11240"/>
          </w:cols>
          <w:pgMar w:left="320" w:top="121" w:right="339"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left="660" w:right="120" w:hanging="328"/>
        <w:spacing w:after="0" w:line="27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2024 continued the unprecedented downturn in the semiconductor industry. Cohu did not achieve the targeted goals with respect to revenue growth nor profitability, which resulted in no annual cash incentives being earned by our NEOs, including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126365</wp:posOffset>
            </wp:positionV>
            <wp:extent cx="5657850" cy="3471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Since 2015, the PSU portion of the long-term incentive compensation program has been earned solely on our TSR relative to a pre-selected comparator group of companies. Starting with the 2021 PSU grants, achievement is based on the Cohu TSR relative to the Russell 2000 Index as described in the “Long-Term Incentive Compensation” section that follows. The weighting of these PSUs in relation to time-based RSU grants has also evolved over the years and, commencing with the long-term incentive grants made in March 2023, 60% of each NEO’s total annual equity grant value is awarded in PSUs and 40% awarded in time-based RSUs. For PSU performance periods concluding since 2020, our NEOs have historically earned from a low of 40% of their target PSU awards to a high of 142% of their target PSU awards.</w:t>
      </w:r>
    </w:p>
    <w:p>
      <w:pPr>
        <w:spacing w:after="0" w:line="16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While the past five years indicate that the program effectively rewards our executive officers when we deliver superior performance and appropriately adjusts compensation downward in the case of less-than-superior performance, the Compensation Committee will continue to review the executive compensation program to ensure it reflects the appropriate balance between short-term financial performance and long-term stockholder return. For example, commencing with PSUs granted in March 2021, we eliminated the 25% minimum number of PSUs that were guaranteed to vest, regardless of performance. This formula is described in detail in the section entitled “Long-Term Incentive Compensation”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Executive Compensation Policies and Practices</w:t>
      </w:r>
    </w:p>
    <w:p>
      <w:pPr>
        <w:spacing w:after="0" w:line="196"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We endeavor to maintain sound governance standards consistent with our executive compensation policies and practices. The Compensation Committee evaluates our executive compensation program on an ongoing basis to ensure that it is consistent with our short-term and long-term goals given the dynamic nature of our business and the market in which we compete for executive talent. The following policies and practices were in effect during 2024:</w:t>
      </w:r>
    </w:p>
    <w:p>
      <w:pPr>
        <w:spacing w:after="0" w:line="16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Independent Compensation Committee</w:t>
      </w:r>
      <w:r>
        <w:rPr>
          <w:rFonts w:ascii="Arial" w:cs="Arial" w:eastAsia="Arial" w:hAnsi="Arial"/>
          <w:sz w:val="18"/>
          <w:szCs w:val="18"/>
          <w:color w:val="auto"/>
        </w:rPr>
        <w:t>. The Compensation Committee is comprised solely of independent directors.</w:t>
      </w:r>
    </w:p>
    <w:p>
      <w:pPr>
        <w:spacing w:after="0" w:line="13" w:lineRule="exact"/>
        <w:rPr>
          <w:rFonts w:ascii="Arial" w:cs="Arial" w:eastAsia="Arial" w:hAnsi="Arial"/>
          <w:sz w:val="18"/>
          <w:szCs w:val="18"/>
          <w:color w:val="auto"/>
        </w:rPr>
      </w:pPr>
    </w:p>
    <w:p>
      <w:pPr>
        <w:ind w:left="660" w:right="180" w:hanging="328"/>
        <w:spacing w:after="0" w:line="23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Independent Compensation Committee Advisors</w:t>
      </w:r>
      <w:r>
        <w:rPr>
          <w:rFonts w:ascii="Arial" w:cs="Arial" w:eastAsia="Arial" w:hAnsi="Arial"/>
          <w:sz w:val="18"/>
          <w:szCs w:val="18"/>
          <w:color w:val="auto"/>
        </w:rPr>
        <w:t>. The Compensation Committee engaged its own compensation consultant to</w:t>
      </w:r>
      <w:r>
        <w:rPr>
          <w:rFonts w:ascii="Arial" w:cs="Arial" w:eastAsia="Arial" w:hAnsi="Arial"/>
          <w:sz w:val="18"/>
          <w:szCs w:val="18"/>
          <w:b w:val="1"/>
          <w:bCs w:val="1"/>
          <w:color w:val="auto"/>
        </w:rPr>
        <w:t xml:space="preserve"> </w:t>
      </w:r>
      <w:r>
        <w:rPr>
          <w:rFonts w:ascii="Arial" w:cs="Arial" w:eastAsia="Arial" w:hAnsi="Arial"/>
          <w:sz w:val="18"/>
          <w:szCs w:val="18"/>
          <w:color w:val="auto"/>
        </w:rPr>
        <w:t>assist with its continuous compensation and governance reviews. This consultant performed no other consulting or services for the Company.</w:t>
      </w:r>
    </w:p>
    <w:p>
      <w:pPr>
        <w:spacing w:after="0" w:line="2" w:lineRule="exact"/>
        <w:rPr>
          <w:rFonts w:ascii="Arial" w:cs="Arial" w:eastAsia="Arial" w:hAnsi="Arial"/>
          <w:sz w:val="18"/>
          <w:szCs w:val="18"/>
          <w:color w:val="auto"/>
        </w:rPr>
      </w:pPr>
    </w:p>
    <w:p>
      <w:pPr>
        <w:ind w:left="660" w:right="78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Annual Executive Compensation Review. </w:t>
      </w:r>
      <w:r>
        <w:rPr>
          <w:rFonts w:ascii="Arial" w:cs="Arial" w:eastAsia="Arial" w:hAnsi="Arial"/>
          <w:sz w:val="18"/>
          <w:szCs w:val="18"/>
          <w:color w:val="auto"/>
        </w:rPr>
        <w:t>The Compensation Committee conducts an annual review and approval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strategy, including a review of our compensation peer group used for comparative purposes.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left="660" w:right="400" w:hanging="328"/>
        <w:spacing w:after="0" w:line="259"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 xml:space="preserve">Annual Compensation-Related Risk Review. </w:t>
      </w:r>
      <w:r>
        <w:rPr>
          <w:rFonts w:ascii="Arial" w:cs="Arial" w:eastAsia="Arial" w:hAnsi="Arial"/>
          <w:sz w:val="17"/>
          <w:szCs w:val="17"/>
          <w:color w:val="auto"/>
        </w:rPr>
        <w:t>The Compensation Committee conducts an annual review of our compensation-related risk profile to ensure that compensation practices are not reasonably likely to have a material adverse effect on Cohu.</w:t>
      </w:r>
    </w:p>
    <w:p>
      <w:pPr>
        <w:spacing w:after="0" w:line="1" w:lineRule="exact"/>
        <w:rPr>
          <w:rFonts w:ascii="Arial" w:cs="Arial" w:eastAsia="Arial" w:hAnsi="Arial"/>
          <w:sz w:val="17"/>
          <w:szCs w:val="17"/>
          <w:color w:val="auto"/>
        </w:rPr>
      </w:pPr>
    </w:p>
    <w:p>
      <w:pPr>
        <w:ind w:left="660" w:right="240" w:hanging="328"/>
        <w:spacing w:after="0" w:line="24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Executive Compensation Policies and Practices. </w:t>
      </w:r>
      <w:r>
        <w:rPr>
          <w:rFonts w:ascii="Arial" w:cs="Arial" w:eastAsia="Arial" w:hAnsi="Arial"/>
          <w:sz w:val="18"/>
          <w:szCs w:val="18"/>
          <w:color w:val="auto"/>
        </w:rPr>
        <w:t>Our compensation philosophy and related corporate governance policies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are complemented by several specific compensation policies and practices that are designed to align our executive compensation with long-term stockholder interests, including the following:</w:t>
      </w:r>
    </w:p>
    <w:p>
      <w:pPr>
        <w:spacing w:after="0" w:line="165" w:lineRule="exact"/>
        <w:rPr>
          <w:rFonts w:ascii="Arial" w:cs="Arial" w:eastAsia="Arial" w:hAnsi="Arial"/>
          <w:sz w:val="18"/>
          <w:szCs w:val="18"/>
          <w:color w:val="auto"/>
        </w:rPr>
      </w:pPr>
    </w:p>
    <w:p>
      <w:pPr>
        <w:ind w:left="1300" w:right="180" w:hanging="320"/>
        <w:spacing w:after="0" w:line="241"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Compensation At-Risk. </w:t>
      </w:r>
      <w:r>
        <w:rPr>
          <w:rFonts w:ascii="Arial" w:cs="Arial" w:eastAsia="Arial" w:hAnsi="Arial"/>
          <w:sz w:val="18"/>
          <w:szCs w:val="18"/>
          <w:color w:val="auto"/>
        </w:rPr>
        <w:t>Our executive compensation program is designed so that a significant portion of compensation is</w:t>
      </w:r>
      <w:r>
        <w:rPr>
          <w:rFonts w:ascii="Arial" w:cs="Arial" w:eastAsia="Arial" w:hAnsi="Arial"/>
          <w:sz w:val="18"/>
          <w:szCs w:val="18"/>
          <w:b w:val="1"/>
          <w:bCs w:val="1"/>
          <w:color w:val="auto"/>
        </w:rPr>
        <w:t xml:space="preserve"> </w:t>
      </w:r>
      <w:r>
        <w:rPr>
          <w:rFonts w:ascii="Arial" w:cs="Arial" w:eastAsia="Arial" w:hAnsi="Arial"/>
          <w:sz w:val="18"/>
          <w:szCs w:val="18"/>
          <w:color w:val="auto"/>
        </w:rPr>
        <w:t>“at risk” based on corporate performance, as well as equity-based to align the interests of our executive officers and stockholders.</w:t>
      </w:r>
    </w:p>
    <w:p>
      <w:pPr>
        <w:spacing w:after="0" w:line="1" w:lineRule="exact"/>
        <w:rPr>
          <w:rFonts w:ascii="Arial" w:cs="Arial" w:eastAsia="Arial" w:hAnsi="Arial"/>
          <w:sz w:val="18"/>
          <w:szCs w:val="18"/>
          <w:color w:val="auto"/>
        </w:rPr>
      </w:pPr>
    </w:p>
    <w:p>
      <w:pPr>
        <w:ind w:left="1300" w:right="360" w:hanging="320"/>
        <w:spacing w:after="0" w:line="23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No Defined Benefit Pension Plans. </w:t>
      </w:r>
      <w:r>
        <w:rPr>
          <w:rFonts w:ascii="Arial" w:cs="Arial" w:eastAsia="Arial" w:hAnsi="Arial"/>
          <w:sz w:val="18"/>
          <w:szCs w:val="18"/>
          <w:color w:val="auto"/>
        </w:rPr>
        <w:t>We do not currently offer, nor do we have plans to provide, defined benefit pension</w:t>
      </w:r>
      <w:r>
        <w:rPr>
          <w:rFonts w:ascii="Arial" w:cs="Arial" w:eastAsia="Arial" w:hAnsi="Arial"/>
          <w:sz w:val="18"/>
          <w:szCs w:val="18"/>
          <w:b w:val="1"/>
          <w:bCs w:val="1"/>
          <w:color w:val="auto"/>
        </w:rPr>
        <w:t xml:space="preserve"> </w:t>
      </w:r>
      <w:r>
        <w:rPr>
          <w:rFonts w:ascii="Arial" w:cs="Arial" w:eastAsia="Arial" w:hAnsi="Arial"/>
          <w:sz w:val="18"/>
          <w:szCs w:val="18"/>
          <w:color w:val="auto"/>
        </w:rPr>
        <w:t>plans or arrangements for our executive officers.</w:t>
      </w:r>
    </w:p>
    <w:p>
      <w:pPr>
        <w:spacing w:after="0" w:line="1" w:lineRule="exact"/>
        <w:rPr>
          <w:rFonts w:ascii="Arial" w:cs="Arial" w:eastAsia="Arial" w:hAnsi="Arial"/>
          <w:sz w:val="18"/>
          <w:szCs w:val="18"/>
          <w:color w:val="auto"/>
        </w:rPr>
      </w:pPr>
    </w:p>
    <w:p>
      <w:pPr>
        <w:ind w:left="1300" w:right="280" w:hanging="320"/>
        <w:spacing w:after="0" w:line="23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Limited Perquisites. </w:t>
      </w:r>
      <w:r>
        <w:rPr>
          <w:rFonts w:ascii="Arial" w:cs="Arial" w:eastAsia="Arial" w:hAnsi="Arial"/>
          <w:sz w:val="18"/>
          <w:szCs w:val="18"/>
          <w:color w:val="auto"/>
        </w:rPr>
        <w:t>We provide minimal perquisites and other personal benefits to our executive officers,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described below.</w:t>
      </w:r>
    </w:p>
    <w:p>
      <w:pPr>
        <w:spacing w:after="0" w:line="1" w:lineRule="exact"/>
        <w:rPr>
          <w:rFonts w:ascii="Arial" w:cs="Arial" w:eastAsia="Arial" w:hAnsi="Arial"/>
          <w:sz w:val="18"/>
          <w:szCs w:val="18"/>
          <w:color w:val="auto"/>
        </w:rPr>
      </w:pPr>
    </w:p>
    <w:p>
      <w:pPr>
        <w:ind w:left="1300" w:right="160" w:hanging="320"/>
        <w:spacing w:after="0" w:line="23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No Tax Reimbursements. </w:t>
      </w:r>
      <w:r>
        <w:rPr>
          <w:rFonts w:ascii="Arial" w:cs="Arial" w:eastAsia="Arial" w:hAnsi="Arial"/>
          <w:sz w:val="18"/>
          <w:szCs w:val="18"/>
          <w:color w:val="auto"/>
        </w:rPr>
        <w:t>We do not provide any tax or “gross-up” reimbursement payments on any severance or change</w:t>
      </w:r>
      <w:r>
        <w:rPr>
          <w:rFonts w:ascii="Arial" w:cs="Arial" w:eastAsia="Arial" w:hAnsi="Arial"/>
          <w:sz w:val="18"/>
          <w:szCs w:val="18"/>
          <w:b w:val="1"/>
          <w:bCs w:val="1"/>
          <w:color w:val="auto"/>
        </w:rPr>
        <w:t xml:space="preserve"> </w:t>
      </w:r>
      <w:r>
        <w:rPr>
          <w:rFonts w:ascii="Arial" w:cs="Arial" w:eastAsia="Arial" w:hAnsi="Arial"/>
          <w:sz w:val="18"/>
          <w:szCs w:val="18"/>
          <w:color w:val="auto"/>
        </w:rPr>
        <w:t>in control payments, perquisites or other personal benefits other than immaterial COBRA reimbursements, standard relocation benefits and tax equalization agreements related to expatriate assignments.</w:t>
      </w:r>
    </w:p>
    <w:p>
      <w:pPr>
        <w:spacing w:after="0" w:line="2" w:lineRule="exact"/>
        <w:rPr>
          <w:rFonts w:ascii="Arial" w:cs="Arial" w:eastAsia="Arial" w:hAnsi="Arial"/>
          <w:sz w:val="18"/>
          <w:szCs w:val="18"/>
          <w:color w:val="auto"/>
        </w:rPr>
      </w:pPr>
    </w:p>
    <w:p>
      <w:pPr>
        <w:ind w:left="1300" w:right="180" w:hanging="320"/>
        <w:spacing w:after="0" w:line="23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“Double-Trigger</w:t>
      </w:r>
      <w:r>
        <w:rPr>
          <w:rFonts w:ascii="Arial" w:cs="Arial" w:eastAsia="Arial" w:hAnsi="Arial"/>
          <w:sz w:val="18"/>
          <w:szCs w:val="18"/>
          <w:color w:val="auto"/>
        </w:rPr>
        <w:t>”</w:t>
      </w:r>
      <w:r>
        <w:rPr>
          <w:rFonts w:ascii="Arial" w:cs="Arial" w:eastAsia="Arial" w:hAnsi="Arial"/>
          <w:sz w:val="18"/>
          <w:szCs w:val="18"/>
          <w:b w:val="1"/>
          <w:bCs w:val="1"/>
          <w:color w:val="auto"/>
        </w:rPr>
        <w:t xml:space="preserve"> Change-in-Control Arrangements. </w:t>
      </w:r>
      <w:r>
        <w:rPr>
          <w:rFonts w:ascii="Arial" w:cs="Arial" w:eastAsia="Arial" w:hAnsi="Arial"/>
          <w:sz w:val="18"/>
          <w:szCs w:val="18"/>
          <w:color w:val="auto"/>
        </w:rPr>
        <w:t>All change-in-control cash payments and benefits are based on a</w:t>
      </w:r>
      <w:r>
        <w:rPr>
          <w:rFonts w:ascii="Arial" w:cs="Arial" w:eastAsia="Arial" w:hAnsi="Arial"/>
          <w:sz w:val="18"/>
          <w:szCs w:val="18"/>
          <w:b w:val="1"/>
          <w:bCs w:val="1"/>
          <w:color w:val="auto"/>
        </w:rPr>
        <w:t xml:space="preserve"> </w:t>
      </w:r>
      <w:r>
        <w:rPr>
          <w:rFonts w:ascii="Arial" w:cs="Arial" w:eastAsia="Arial" w:hAnsi="Arial"/>
          <w:sz w:val="18"/>
          <w:szCs w:val="18"/>
          <w:color w:val="auto"/>
        </w:rPr>
        <w:t>“double-trigger” arrangement (that is, they require both a change-in-control plus a qualifying termination of employment before payments and benefits are paid), although the vesting of equity awards will accelerate in full if the awards are not or cannot reasonably be assumed or replaced by an acquiring corporation.</w:t>
      </w:r>
    </w:p>
    <w:p>
      <w:pPr>
        <w:spacing w:after="0" w:line="2" w:lineRule="exact"/>
        <w:rPr>
          <w:rFonts w:ascii="Arial" w:cs="Arial" w:eastAsia="Arial" w:hAnsi="Arial"/>
          <w:sz w:val="18"/>
          <w:szCs w:val="18"/>
          <w:color w:val="auto"/>
        </w:rPr>
      </w:pPr>
    </w:p>
    <w:p>
      <w:pPr>
        <w:ind w:left="1300" w:hanging="320"/>
        <w:spacing w:after="0" w:line="23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Performance-Based Incentives. </w:t>
      </w:r>
      <w:r>
        <w:rPr>
          <w:rFonts w:ascii="Arial" w:cs="Arial" w:eastAsia="Arial" w:hAnsi="Arial"/>
          <w:sz w:val="18"/>
          <w:szCs w:val="18"/>
          <w:color w:val="auto"/>
        </w:rPr>
        <w:t>We use performance-based short-term and long-term incentives and do not have common</w:t>
      </w:r>
      <w:r>
        <w:rPr>
          <w:rFonts w:ascii="Arial" w:cs="Arial" w:eastAsia="Arial" w:hAnsi="Arial"/>
          <w:sz w:val="18"/>
          <w:szCs w:val="18"/>
          <w:b w:val="1"/>
          <w:bCs w:val="1"/>
          <w:color w:val="auto"/>
        </w:rPr>
        <w:t xml:space="preserve"> </w:t>
      </w:r>
      <w:r>
        <w:rPr>
          <w:rFonts w:ascii="Arial" w:cs="Arial" w:eastAsia="Arial" w:hAnsi="Arial"/>
          <w:sz w:val="18"/>
          <w:szCs w:val="18"/>
          <w:color w:val="auto"/>
        </w:rPr>
        <w:t>or overlapping metrics between these programs.</w:t>
      </w:r>
    </w:p>
    <w:p>
      <w:pPr>
        <w:spacing w:after="0" w:line="1" w:lineRule="exact"/>
        <w:rPr>
          <w:rFonts w:ascii="Arial" w:cs="Arial" w:eastAsia="Arial" w:hAnsi="Arial"/>
          <w:sz w:val="18"/>
          <w:szCs w:val="18"/>
          <w:color w:val="auto"/>
        </w:rPr>
      </w:pPr>
    </w:p>
    <w:p>
      <w:pPr>
        <w:ind w:left="1300" w:right="140" w:hanging="320"/>
        <w:spacing w:after="0" w:line="23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Recovery of Erroneously Awarded Incentive Compensation. </w:t>
      </w:r>
      <w:r>
        <w:rPr>
          <w:rFonts w:ascii="Arial" w:cs="Arial" w:eastAsia="Arial" w:hAnsi="Arial"/>
          <w:sz w:val="18"/>
          <w:szCs w:val="18"/>
          <w:color w:val="auto"/>
        </w:rPr>
        <w:t>Certain compensation awarded to our executive officers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recovery by Cohu if our financial results are restated under a policy which complies with the Exchange Act Rule 10D-1 and the corresponding Nasdaq listing standards.</w:t>
      </w:r>
    </w:p>
    <w:p>
      <w:pPr>
        <w:spacing w:after="0" w:line="2" w:lineRule="exact"/>
        <w:rPr>
          <w:rFonts w:ascii="Arial" w:cs="Arial" w:eastAsia="Arial" w:hAnsi="Arial"/>
          <w:sz w:val="18"/>
          <w:szCs w:val="18"/>
          <w:color w:val="auto"/>
        </w:rPr>
      </w:pPr>
    </w:p>
    <w:p>
      <w:pPr>
        <w:ind w:left="1300" w:right="140" w:hanging="320"/>
        <w:spacing w:after="0" w:line="23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Multi-Year Vesting Requirements. </w:t>
      </w:r>
      <w:r>
        <w:rPr>
          <w:rFonts w:ascii="Arial" w:cs="Arial" w:eastAsia="Arial" w:hAnsi="Arial"/>
          <w:sz w:val="18"/>
          <w:szCs w:val="18"/>
          <w:color w:val="auto"/>
        </w:rPr>
        <w:t>The equity awards granted to our executive officer’s vest or are earned over multi-year</w:t>
      </w:r>
      <w:r>
        <w:rPr>
          <w:rFonts w:ascii="Arial" w:cs="Arial" w:eastAsia="Arial" w:hAnsi="Arial"/>
          <w:sz w:val="18"/>
          <w:szCs w:val="18"/>
          <w:b w:val="1"/>
          <w:bCs w:val="1"/>
          <w:color w:val="auto"/>
        </w:rPr>
        <w:t xml:space="preserve"> </w:t>
      </w:r>
      <w:r>
        <w:rPr>
          <w:rFonts w:ascii="Arial" w:cs="Arial" w:eastAsia="Arial" w:hAnsi="Arial"/>
          <w:sz w:val="18"/>
          <w:szCs w:val="18"/>
          <w:color w:val="auto"/>
        </w:rPr>
        <w:t>periods, consistent with current market practice and our retention objectives.</w:t>
      </w:r>
    </w:p>
    <w:p>
      <w:pPr>
        <w:spacing w:after="0" w:line="1" w:lineRule="exact"/>
        <w:rPr>
          <w:rFonts w:ascii="Arial" w:cs="Arial" w:eastAsia="Arial" w:hAnsi="Arial"/>
          <w:sz w:val="18"/>
          <w:szCs w:val="18"/>
          <w:color w:val="auto"/>
        </w:rPr>
      </w:pPr>
    </w:p>
    <w:p>
      <w:pPr>
        <w:ind w:left="1300" w:right="300" w:hanging="320"/>
        <w:spacing w:after="0" w:line="23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Stock Option Repricing Prohibited. </w:t>
      </w:r>
      <w:r>
        <w:rPr>
          <w:rFonts w:ascii="Arial" w:cs="Arial" w:eastAsia="Arial" w:hAnsi="Arial"/>
          <w:sz w:val="18"/>
          <w:szCs w:val="18"/>
          <w:color w:val="auto"/>
        </w:rPr>
        <w:t>Our stock incentive plans prohibit the repricing of stock options without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w:t>
      </w:r>
    </w:p>
    <w:p>
      <w:pPr>
        <w:spacing w:after="0" w:line="1" w:lineRule="exact"/>
        <w:rPr>
          <w:rFonts w:ascii="Arial" w:cs="Arial" w:eastAsia="Arial" w:hAnsi="Arial"/>
          <w:sz w:val="18"/>
          <w:szCs w:val="18"/>
          <w:color w:val="auto"/>
        </w:rPr>
      </w:pPr>
    </w:p>
    <w:p>
      <w:pPr>
        <w:ind w:left="1300" w:right="40" w:hanging="320"/>
        <w:spacing w:after="0" w:line="23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Hedging and Pledging Prohibited. </w:t>
      </w:r>
      <w:r>
        <w:rPr>
          <w:rFonts w:ascii="Arial" w:cs="Arial" w:eastAsia="Arial" w:hAnsi="Arial"/>
          <w:sz w:val="18"/>
          <w:szCs w:val="18"/>
          <w:color w:val="auto"/>
        </w:rPr>
        <w:t>We prohibit our employees, including our executive officers and directors, from hedging</w:t>
      </w:r>
      <w:r>
        <w:rPr>
          <w:rFonts w:ascii="Arial" w:cs="Arial" w:eastAsia="Arial" w:hAnsi="Arial"/>
          <w:sz w:val="18"/>
          <w:szCs w:val="18"/>
          <w:b w:val="1"/>
          <w:bCs w:val="1"/>
          <w:color w:val="auto"/>
        </w:rPr>
        <w:t xml:space="preserve"> </w:t>
      </w:r>
      <w:r>
        <w:rPr>
          <w:rFonts w:ascii="Arial" w:cs="Arial" w:eastAsia="Arial" w:hAnsi="Arial"/>
          <w:sz w:val="18"/>
          <w:szCs w:val="18"/>
          <w:color w:val="auto"/>
        </w:rPr>
        <w:t>or pledging any Company securities.</w:t>
      </w:r>
    </w:p>
    <w:p>
      <w:pPr>
        <w:spacing w:after="0" w:line="1" w:lineRule="exact"/>
        <w:rPr>
          <w:rFonts w:ascii="Arial" w:cs="Arial" w:eastAsia="Arial" w:hAnsi="Arial"/>
          <w:sz w:val="18"/>
          <w:szCs w:val="18"/>
          <w:color w:val="auto"/>
        </w:rPr>
      </w:pPr>
    </w:p>
    <w:p>
      <w:pPr>
        <w:ind w:left="1300" w:right="40" w:hanging="320"/>
        <w:spacing w:after="0" w:line="250"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Stock Ownership Policy. </w:t>
      </w:r>
      <w:r>
        <w:rPr>
          <w:rFonts w:ascii="Arial" w:cs="Arial" w:eastAsia="Arial" w:hAnsi="Arial"/>
          <w:sz w:val="18"/>
          <w:szCs w:val="18"/>
          <w:color w:val="auto"/>
        </w:rPr>
        <w:t>We maintain a stock ownership policy for our executive officers and directors which requires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them to beneficially own a specified value of shares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Stockholder Advisory Vote on Executive Compensation</w:t>
      </w:r>
    </w:p>
    <w:p>
      <w:pPr>
        <w:spacing w:after="0" w:line="196" w:lineRule="exact"/>
        <w:rPr>
          <w:sz w:val="20"/>
          <w:szCs w:val="20"/>
          <w:color w:val="auto"/>
        </w:rPr>
      </w:pPr>
    </w:p>
    <w:p>
      <w:pPr>
        <w:jc w:val="both"/>
        <w:ind w:right="120"/>
        <w:spacing w:after="0" w:line="275" w:lineRule="auto"/>
        <w:rPr>
          <w:sz w:val="20"/>
          <w:szCs w:val="20"/>
          <w:color w:val="auto"/>
        </w:rPr>
      </w:pPr>
      <w:r>
        <w:rPr>
          <w:rFonts w:ascii="Arial" w:cs="Arial" w:eastAsia="Arial" w:hAnsi="Arial"/>
          <w:sz w:val="17"/>
          <w:szCs w:val="17"/>
          <w:color w:val="auto"/>
        </w:rPr>
        <w:t>At our 2024 Annual Meeting of Stockholders, we conducted a stockholder advisory vote on the 2023 compensation of our NEOs (commonly known as a “Say-on-Pay” vote). Our stockholders approved, in a non-binding vote, the 2023 compensation of our NEOs, as disclosed in our proxy statement for the 2024 Annual Meeting of Stockholders, with approximately 99.1% of the votes cast in favor of the proposal.</w:t>
      </w:r>
    </w:p>
    <w:p>
      <w:pPr>
        <w:spacing w:after="0" w:line="138"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We believe that the outcome of the Say-on-Pay vote reflects our stockholders’ strong support of our executive compensation program. We value the opinions of our stockholders and will continue to consider the outcome of future Say-on-Pay votes, as well as feedback received throughout the year, when making compensation decisions for our executive officers, including our NEOs.</w:t>
      </w:r>
    </w:p>
    <w:p>
      <w:pPr>
        <w:spacing w:after="0" w:line="155"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Based on the results of a previous stockholder advisory vote on the frequency of future stockholder advisory votes regarding the compensation of our NEOs (commonly known as a “Say-When-on-Pay” vote) conducted at our 2023 Annual Meeting of Stockholders, our Board of Directors determined that we will continue to hold our Say-on-Pay votes on an annual basis.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146050</wp:posOffset>
            </wp:positionV>
            <wp:extent cx="4208780" cy="20313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0878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20" w:right="500" w:hanging="326"/>
        <w:spacing w:after="0" w:line="285" w:lineRule="auto"/>
        <w:tabs>
          <w:tab w:leader="none" w:pos="8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Percentages shown are percentage of votes cast. Abstentions and broker non-votes are not deemed to be votes cast and, therefore, are not included in the tabulation of the voting results in respect to the Say-on-Pay proposals.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2D53A6"/>
        </w:rPr>
        <w:t>Compensation Philosophy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is intended to meet three principal objectives:</w:t>
      </w:r>
    </w:p>
    <w:p>
      <w:pPr>
        <w:spacing w:after="0" w:line="9"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Attract, reward and retain our executive officers;</w:t>
      </w:r>
    </w:p>
    <w:p>
      <w:pPr>
        <w:ind w:left="340" w:hanging="332"/>
        <w:spacing w:after="0" w:line="23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Motivate these individuals to achieve our short-term and long-term corporate goals that enhance stockholder value; and</w:t>
      </w: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Support our core values and culture by promoting internal equity and external competitiveness.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To meet these objectives, we have adopted the following overarching policies:</w:t>
      </w:r>
    </w:p>
    <w:p>
      <w:pPr>
        <w:spacing w:after="0" w:line="14" w:lineRule="exact"/>
        <w:rPr>
          <w:sz w:val="20"/>
          <w:szCs w:val="20"/>
          <w:color w:val="auto"/>
        </w:rPr>
      </w:pPr>
    </w:p>
    <w:p>
      <w:pPr>
        <w:ind w:left="660" w:right="60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pay compensation that is competitive with the practices of other leading semiconductor equipment and similar technology companies; and</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pay for performance by:</w:t>
      </w:r>
    </w:p>
    <w:p>
      <w:pPr>
        <w:ind w:left="1300" w:right="200" w:hanging="320"/>
        <w:spacing w:after="0" w:line="23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Providing a short-term incentive compensation opportunity paid in cash that is based on challenging financial performance objectives for our executive officers; and</w:t>
      </w:r>
    </w:p>
    <w:p>
      <w:pPr>
        <w:spacing w:after="0" w:line="1" w:lineRule="exact"/>
        <w:rPr>
          <w:rFonts w:ascii="Arial" w:cs="Arial" w:eastAsia="Arial" w:hAnsi="Arial"/>
          <w:sz w:val="18"/>
          <w:szCs w:val="18"/>
          <w:color w:val="auto"/>
        </w:rPr>
      </w:pPr>
    </w:p>
    <w:p>
      <w:pPr>
        <w:ind w:left="1300" w:hanging="320"/>
        <w:spacing w:after="0" w:line="242"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Providing long-term incentive compensation opportunities in the form of a combination of RSU awards and PSU awards, that enable us to motivate and retain those executive officers with the leadership abilities necessary to create sustainable long-term value for our stockholders.</w:t>
      </w:r>
    </w:p>
    <w:p>
      <w:pPr>
        <w:spacing w:after="0" w:line="16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These policies guide the Compensation Committee in determining the proper allocation between current cash compensation and short-term and long-term incentive compensation. Other considerations include our business objectives, our fiduciary and corporate responsibilities (including internal equity considerations and affordability), competitive practices and trends, and applicable regulatory requirements.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2D53A6"/>
        </w:rPr>
        <w:t>Compensation-Setting Process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Committee</w:t>
      </w:r>
    </w:p>
    <w:p>
      <w:pPr>
        <w:spacing w:after="0" w:line="196"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Our executive compensation program is designed and overseen by the Compensation Committee, which is comprised entirely of independent directors, as determined in accordance with the rules of the SEC and the listing standards of the Nasdaq. The Compensation Committee conducts an annual review of our executive compensation strategy to ensure that it is appropriately aligned with our short-term business plan and long-term strategy. The Compensation Committee also reviews market trends and changes in competitive compensation practices, as described in further detail below. Based on its review and assessment, the Compensation Committee from time to time recommends changes in our executive compensation program.</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The Compensation Committee reviews our executive compensation program on an annual basis, including each of the elements of compensation provided under the program (other than deferred compensation and Section 401(k) benefits, which are reviewed from time to time to ensure that benefit levels remain competitive). In determining the overall compensation arrangements for our executive officers, including our NEOs, as well as the level of each specific element of compensation, the Compensation Committee takes into consideration a number of factors, including the following:</w:t>
      </w:r>
    </w:p>
    <w:p>
      <w:pPr>
        <w:spacing w:after="0" w:line="16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recommendations of our CEO (except with respect to his own compensation) as described below.</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corporate revenue and profitability growth and other elements of financial performance.</w:t>
      </w: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individual performance of each executive officer, including his or her achievement of management objectives.</w:t>
      </w: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review of the relevant competitive market data, as described below.</w:t>
      </w: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skill set, prior experience, and tenure of the executive officer.</w:t>
      </w: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role and responsibilities of the executive officer.</w:t>
      </w: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past and expected future contribution of the executive officer.</w:t>
      </w: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Internal pay consistency for similar positions or skill levels within Cohu.</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External factors to attract and retain talent and overall market conditions.</w:t>
      </w:r>
    </w:p>
    <w:p>
      <w:pPr>
        <w:spacing w:after="0" w:line="180"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The Compensation Committee does not weigh these factors in any predetermined manner, nor does it apply any formulas in developing its compensation recommendations. The members of the Compensation Committee consider all this information in light of their individual experience, knowledge of Cohu, knowledge of the competitive market, knowledge of each executive officer, and business judgment in making these recommendations.</w:t>
      </w:r>
    </w:p>
    <w:p>
      <w:pPr>
        <w:spacing w:after="0" w:line="16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The Compensation Committee’s authority, duties, and responsibilities are described in its charter, which is reviewed annually and revised and updated as warranted. The charter is available at the Corporate Governance section of our website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Management</w:t>
      </w:r>
    </w:p>
    <w:p>
      <w:pPr>
        <w:spacing w:after="0" w:line="196"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On occasion, the Compensation Committee meets with our CEO and our Chief Human Resources Officer to obtain information and recommendations with respect to our executive compensation program, policies, and practices, as well as the compensation arrangements of our executive officers. In 2024, the Compensation Committee met with Dr. Müller, our CEO, who made recommendations to the Compensation Committee on the base salary, target annual cash incentive award opportunities, and long-term incentive compensation for our executive officers, including our NEOs (except with respect to his own compensation). In formulating these recommendations, our CEO used, among other things, competitive market data, an internal equity analysis and individual performance factors.</w:t>
      </w:r>
    </w:p>
    <w:p>
      <w:pPr>
        <w:spacing w:after="0" w:line="16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Compensation Committee considers, but is not bound by and does not always accept, these recommendations with respect to executive compensation. In recent years, the Compensation Committee has modified several of our CEO’s compensation proposals and regularly seeks input from its compensation consultant or data from other independent sources prior to making its decisions.</w:t>
      </w:r>
    </w:p>
    <w:p>
      <w:pPr>
        <w:spacing w:after="0" w:line="1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2024, our CEO attended some of the Compensation Committee’s meetings, but the Compensation Committee also held executive sessions not attended by any members of management. The Compensation Committee held discussions and made its decisions with respect to our CEO’s compensation without him present.</w:t>
      </w:r>
    </w:p>
    <w:p>
      <w:pPr>
        <w:spacing w:after="0" w:line="15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Compensation Committee has the ultimate authority to make decisions with respect to the compensation of our executive officers, including our NEOs, but may, if it chooses, delegate any of its responsibilities to subcommittees. The Compensation Committee has authorized our CEO to make base salary adjustments and short-term cash incentive award decisions for all employees other than our NEOs or other executive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Compensation Consultant</w:t>
      </w:r>
    </w:p>
    <w:p>
      <w:pPr>
        <w:spacing w:after="0" w:line="19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The Compensation Committee has the authority to engage independent advisors to assist in carrying out its responsibilities. The Compensation Committee typically engages Compensia, a national compensation consulting firm, to advise and assist it on various aspects of executive and director compensation, including base salaries, annual and long-term incentive compensation. The Chair of the Compensation Committee reviews and approves all payments to Compensia.</w:t>
      </w:r>
    </w:p>
    <w:p>
      <w:pPr>
        <w:spacing w:after="0" w:line="16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Beginning in 2021, the Compensation Committee’s practice is to have Compensia prepare a comprehensive executive compensation analysis annually and directors compensation analysis in alternating years. In 2024, Compensia completed and presented both the executive and director compensation market analysis.</w:t>
      </w:r>
    </w:p>
    <w:p>
      <w:pPr>
        <w:spacing w:after="0" w:line="155"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Compensia reports directly to the Compensation Committee. The Compensation Committee may replace Compensia or hire additional advisors at any time. Compensia does not provide any other services to the Company and receives compensation only with respect to the services provided to the Compensation Committee.</w:t>
      </w:r>
    </w:p>
    <w:p>
      <w:pPr>
        <w:spacing w:after="0" w:line="155"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The Compensation Committee has considered the independence of Compensia in light of the rules of the SEC and the listing standards of Nasdaq. Based on these rules and standards, the Compensation Committee has concluded that the work performed by Compensia did not raise any conflict of interest.</w:t>
      </w:r>
    </w:p>
    <w:p>
      <w:pPr>
        <w:sectPr>
          <w:pgSz w:w="11900" w:h="16838" w:orient="portrait"/>
          <w:cols w:equalWidth="0" w:num="1">
            <w:col w:w="11240"/>
          </w:cols>
          <w:pgMar w:left="320" w:top="121" w:right="339"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Positioning</w:t>
      </w:r>
    </w:p>
    <w:p>
      <w:pPr>
        <w:spacing w:after="0" w:line="19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arriving at its compensation decisions for our executive officers, including our NEOs, for 2024, the Compensation Committee considered competitive market data and an analysis prepared by Compensia. In making its decisions, the Compensation Committee evaluates this data and analysis as an important reference point but does not reach its conclusions on a formulaic basis. This analysis was based on a review of the compensation practices of a select group of peer companies which was approved by the Compensation Committee after reviewing data prepared by Compensia and input from management. In selecting companies for the compensation peer group, the Compensation Committee identified companies headquartered in the U.S. in the semiconductor capital equipment, electronic capital equipment and instrumentation sectors that were comparable to us on the basis of 0.4x – 2.5x revenue, 0.25x – 5.0x the Company’s market capitalization, had similar scope of operations, and which the Compensation Committee believed may compete with us for executive talent.</w:t>
      </w:r>
    </w:p>
    <w:p>
      <w:pPr>
        <w:spacing w:after="0" w:line="167"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color w:val="auto"/>
        </w:rPr>
        <w:t>On September 6, 2023, the Compensation Committee reviewed the compensation peer group noting that the acquisition of National Instruments had not yet been completed but still contained a sufficient and appropriate group of comparator companies.</w:t>
      </w:r>
    </w:p>
    <w:p>
      <w:pPr>
        <w:spacing w:after="0" w:line="140"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For determining executive compensation levels in 2024 the compensation peer group remained unchanged from 2023 and consisted of the following 19 companies: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8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Advanced Energy Industries</w:t>
            </w:r>
          </w:p>
        </w:tc>
        <w:tc>
          <w:tcPr>
            <w:tcW w:w="26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FormFactor</w:t>
            </w:r>
          </w:p>
        </w:tc>
        <w:tc>
          <w:tcPr>
            <w:tcW w:w="242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MaxLinear</w:t>
            </w:r>
          </w:p>
        </w:tc>
        <w:tc>
          <w:tcPr>
            <w:tcW w:w="3340" w:type="dxa"/>
            <w:vAlign w:val="bottom"/>
            <w:tcBorders>
              <w:bottom w:val="single" w:sz="8" w:color="E6E6E6"/>
            </w:tcBorders>
            <w:shd w:val="clear" w:color="auto" w:fill="E6E6E6"/>
          </w:tcPr>
          <w:p>
            <w:pPr>
              <w:ind w:left="580"/>
              <w:spacing w:after="0"/>
              <w:rPr>
                <w:sz w:val="20"/>
                <w:szCs w:val="20"/>
                <w:color w:val="auto"/>
              </w:rPr>
            </w:pPr>
            <w:r>
              <w:rPr>
                <w:rFonts w:ascii="Arial" w:cs="Arial" w:eastAsia="Arial" w:hAnsi="Arial"/>
                <w:sz w:val="18"/>
                <w:szCs w:val="18"/>
                <w:color w:val="auto"/>
              </w:rPr>
              <w:t xml:space="preserve">Penguin Solutions </w:t>
            </w:r>
            <w:r>
              <w:rPr>
                <w:rFonts w:ascii="Arial" w:cs="Arial" w:eastAsia="Arial" w:hAnsi="Arial"/>
                <w:sz w:val="14"/>
                <w:szCs w:val="14"/>
                <w:color w:val="auto"/>
              </w:rPr>
              <w:t>(1)</w:t>
            </w:r>
          </w:p>
        </w:tc>
      </w:tr>
      <w:tr>
        <w:trPr>
          <w:trHeight w:val="261"/>
        </w:trPr>
        <w:tc>
          <w:tcPr>
            <w:tcW w:w="2800" w:type="dxa"/>
            <w:vAlign w:val="bottom"/>
          </w:tcPr>
          <w:p>
            <w:pPr>
              <w:ind w:left="40"/>
              <w:spacing w:after="0"/>
              <w:rPr>
                <w:sz w:val="20"/>
                <w:szCs w:val="20"/>
                <w:color w:val="auto"/>
              </w:rPr>
            </w:pPr>
            <w:r>
              <w:rPr>
                <w:rFonts w:ascii="Arial" w:cs="Arial" w:eastAsia="Arial" w:hAnsi="Arial"/>
                <w:sz w:val="18"/>
                <w:szCs w:val="18"/>
                <w:color w:val="auto"/>
              </w:rPr>
              <w:t>Alpha and Omega Semiconductor</w:t>
            </w:r>
          </w:p>
        </w:tc>
        <w:tc>
          <w:tcPr>
            <w:tcW w:w="2680" w:type="dxa"/>
            <w:vAlign w:val="bottom"/>
          </w:tcPr>
          <w:p>
            <w:pPr>
              <w:ind w:left="60"/>
              <w:spacing w:after="0"/>
              <w:rPr>
                <w:sz w:val="20"/>
                <w:szCs w:val="20"/>
                <w:color w:val="auto"/>
              </w:rPr>
            </w:pPr>
            <w:r>
              <w:rPr>
                <w:rFonts w:ascii="Arial" w:cs="Arial" w:eastAsia="Arial" w:hAnsi="Arial"/>
                <w:sz w:val="18"/>
                <w:szCs w:val="18"/>
                <w:color w:val="auto"/>
              </w:rPr>
              <w:t>Harmonic</w:t>
            </w:r>
          </w:p>
        </w:tc>
        <w:tc>
          <w:tcPr>
            <w:tcW w:w="2420" w:type="dxa"/>
            <w:vAlign w:val="bottom"/>
          </w:tcPr>
          <w:p>
            <w:pPr>
              <w:ind w:left="180"/>
              <w:spacing w:after="0"/>
              <w:rPr>
                <w:sz w:val="20"/>
                <w:szCs w:val="20"/>
                <w:color w:val="auto"/>
              </w:rPr>
            </w:pPr>
            <w:r>
              <w:rPr>
                <w:rFonts w:ascii="Arial" w:cs="Arial" w:eastAsia="Arial" w:hAnsi="Arial"/>
                <w:sz w:val="18"/>
                <w:szCs w:val="18"/>
                <w:color w:val="auto"/>
              </w:rPr>
              <w:t>National Instruments</w:t>
            </w:r>
          </w:p>
        </w:tc>
        <w:tc>
          <w:tcPr>
            <w:tcW w:w="3340" w:type="dxa"/>
            <w:vAlign w:val="bottom"/>
          </w:tcPr>
          <w:p>
            <w:pPr>
              <w:ind w:left="580"/>
              <w:spacing w:after="0"/>
              <w:rPr>
                <w:sz w:val="20"/>
                <w:szCs w:val="20"/>
                <w:color w:val="auto"/>
              </w:rPr>
            </w:pPr>
            <w:r>
              <w:rPr>
                <w:rFonts w:ascii="Arial" w:cs="Arial" w:eastAsia="Arial" w:hAnsi="Arial"/>
                <w:sz w:val="18"/>
                <w:szCs w:val="18"/>
                <w:color w:val="auto"/>
              </w:rPr>
              <w:t>Photronics</w:t>
            </w:r>
          </w:p>
        </w:tc>
      </w:tr>
      <w:tr>
        <w:trPr>
          <w:trHeight w:val="23"/>
        </w:trPr>
        <w:tc>
          <w:tcPr>
            <w:tcW w:w="28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340" w:type="dxa"/>
            <w:vAlign w:val="bottom"/>
          </w:tcPr>
          <w:p>
            <w:pPr>
              <w:spacing w:after="0"/>
              <w:rPr>
                <w:sz w:val="2"/>
                <w:szCs w:val="2"/>
                <w:color w:val="auto"/>
              </w:rPr>
            </w:pPr>
          </w:p>
        </w:tc>
      </w:tr>
      <w:tr>
        <w:trPr>
          <w:trHeight w:val="264"/>
        </w:trPr>
        <w:tc>
          <w:tcPr>
            <w:tcW w:w="28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Axcelis Technologies</w:t>
            </w:r>
          </w:p>
        </w:tc>
        <w:tc>
          <w:tcPr>
            <w:tcW w:w="26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Ichor Holdings</w:t>
            </w:r>
          </w:p>
        </w:tc>
        <w:tc>
          <w:tcPr>
            <w:tcW w:w="242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Novanta</w:t>
            </w:r>
          </w:p>
        </w:tc>
        <w:tc>
          <w:tcPr>
            <w:tcW w:w="3340" w:type="dxa"/>
            <w:vAlign w:val="bottom"/>
            <w:tcBorders>
              <w:bottom w:val="single" w:sz="8" w:color="E6E6E6"/>
            </w:tcBorders>
            <w:shd w:val="clear" w:color="auto" w:fill="E6E6E6"/>
          </w:tcPr>
          <w:p>
            <w:pPr>
              <w:ind w:left="580"/>
              <w:spacing w:after="0"/>
              <w:rPr>
                <w:sz w:val="20"/>
                <w:szCs w:val="20"/>
                <w:color w:val="auto"/>
              </w:rPr>
            </w:pPr>
            <w:r>
              <w:rPr>
                <w:rFonts w:ascii="Arial" w:cs="Arial" w:eastAsia="Arial" w:hAnsi="Arial"/>
                <w:sz w:val="18"/>
                <w:szCs w:val="18"/>
                <w:color w:val="auto"/>
              </w:rPr>
              <w:t>Ultra Clean Holdings</w:t>
            </w:r>
          </w:p>
        </w:tc>
      </w:tr>
      <w:tr>
        <w:trPr>
          <w:trHeight w:val="260"/>
        </w:trPr>
        <w:tc>
          <w:tcPr>
            <w:tcW w:w="2800" w:type="dxa"/>
            <w:vAlign w:val="bottom"/>
          </w:tcPr>
          <w:p>
            <w:pPr>
              <w:ind w:left="40"/>
              <w:spacing w:after="0"/>
              <w:rPr>
                <w:sz w:val="20"/>
                <w:szCs w:val="20"/>
                <w:color w:val="auto"/>
              </w:rPr>
            </w:pPr>
            <w:r>
              <w:rPr>
                <w:rFonts w:ascii="Arial" w:cs="Arial" w:eastAsia="Arial" w:hAnsi="Arial"/>
                <w:sz w:val="18"/>
                <w:szCs w:val="18"/>
                <w:color w:val="auto"/>
              </w:rPr>
              <w:t>Badger Meter</w:t>
            </w:r>
          </w:p>
        </w:tc>
        <w:tc>
          <w:tcPr>
            <w:tcW w:w="2680" w:type="dxa"/>
            <w:vAlign w:val="bottom"/>
          </w:tcPr>
          <w:p>
            <w:pPr>
              <w:ind w:left="60"/>
              <w:spacing w:after="0"/>
              <w:rPr>
                <w:sz w:val="20"/>
                <w:szCs w:val="20"/>
                <w:color w:val="auto"/>
              </w:rPr>
            </w:pPr>
            <w:r>
              <w:rPr>
                <w:rFonts w:ascii="Arial" w:cs="Arial" w:eastAsia="Arial" w:hAnsi="Arial"/>
                <w:sz w:val="18"/>
                <w:szCs w:val="18"/>
                <w:color w:val="auto"/>
              </w:rPr>
              <w:t>Kulicke and Soffa</w:t>
            </w:r>
          </w:p>
        </w:tc>
        <w:tc>
          <w:tcPr>
            <w:tcW w:w="2420" w:type="dxa"/>
            <w:vAlign w:val="bottom"/>
          </w:tcPr>
          <w:p>
            <w:pPr>
              <w:ind w:left="180"/>
              <w:spacing w:after="0"/>
              <w:rPr>
                <w:sz w:val="20"/>
                <w:szCs w:val="20"/>
                <w:color w:val="auto"/>
              </w:rPr>
            </w:pPr>
            <w:r>
              <w:rPr>
                <w:rFonts w:ascii="Arial" w:cs="Arial" w:eastAsia="Arial" w:hAnsi="Arial"/>
                <w:sz w:val="18"/>
                <w:szCs w:val="18"/>
                <w:color w:val="auto"/>
              </w:rPr>
              <w:t>Onto Innovation</w:t>
            </w:r>
          </w:p>
        </w:tc>
        <w:tc>
          <w:tcPr>
            <w:tcW w:w="3340" w:type="dxa"/>
            <w:vAlign w:val="bottom"/>
          </w:tcPr>
          <w:p>
            <w:pPr>
              <w:ind w:left="580"/>
              <w:spacing w:after="0"/>
              <w:rPr>
                <w:sz w:val="20"/>
                <w:szCs w:val="20"/>
                <w:color w:val="auto"/>
              </w:rPr>
            </w:pPr>
            <w:r>
              <w:rPr>
                <w:rFonts w:ascii="Arial" w:cs="Arial" w:eastAsia="Arial" w:hAnsi="Arial"/>
                <w:sz w:val="18"/>
                <w:szCs w:val="18"/>
                <w:color w:val="auto"/>
              </w:rPr>
              <w:t>Veeco Instruments</w:t>
            </w:r>
          </w:p>
        </w:tc>
      </w:tr>
      <w:tr>
        <w:trPr>
          <w:trHeight w:val="23"/>
        </w:trPr>
        <w:tc>
          <w:tcPr>
            <w:tcW w:w="28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340" w:type="dxa"/>
            <w:vAlign w:val="bottom"/>
          </w:tcPr>
          <w:p>
            <w:pPr>
              <w:spacing w:after="0"/>
              <w:rPr>
                <w:sz w:val="2"/>
                <w:szCs w:val="2"/>
                <w:color w:val="auto"/>
              </w:rPr>
            </w:pPr>
          </w:p>
        </w:tc>
      </w:tr>
      <w:tr>
        <w:trPr>
          <w:trHeight w:val="263"/>
        </w:trPr>
        <w:tc>
          <w:tcPr>
            <w:tcW w:w="28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Cirrus Logic</w:t>
            </w:r>
          </w:p>
        </w:tc>
        <w:tc>
          <w:tcPr>
            <w:tcW w:w="26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MACOM Technology Solutions</w:t>
            </w:r>
          </w:p>
        </w:tc>
        <w:tc>
          <w:tcPr>
            <w:tcW w:w="242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OSI Systems</w:t>
            </w:r>
          </w:p>
        </w:tc>
        <w:tc>
          <w:tcPr>
            <w:tcW w:w="3340" w:type="dxa"/>
            <w:vAlign w:val="bottom"/>
            <w:tcBorders>
              <w:bottom w:val="single" w:sz="8" w:color="E6E6E6"/>
            </w:tcBorders>
            <w:shd w:val="clear" w:color="auto" w:fill="E6E6E6"/>
          </w:tcPr>
          <w:p>
            <w:pPr>
              <w:spacing w:after="0"/>
              <w:rPr>
                <w:sz w:val="22"/>
                <w:szCs w:val="22"/>
                <w:color w:val="auto"/>
              </w:rPr>
            </w:pPr>
          </w:p>
        </w:tc>
      </w:tr>
      <w:tr>
        <w:trPr>
          <w:trHeight w:val="20"/>
        </w:trPr>
        <w:tc>
          <w:tcPr>
            <w:tcW w:w="2800" w:type="dxa"/>
            <w:vAlign w:val="bottom"/>
            <w:shd w:val="clear" w:color="auto" w:fill="2D53A6"/>
          </w:tcPr>
          <w:p>
            <w:pPr>
              <w:spacing w:after="0" w:line="20" w:lineRule="exact"/>
              <w:rPr>
                <w:sz w:val="1"/>
                <w:szCs w:val="1"/>
                <w:color w:val="auto"/>
              </w:rPr>
            </w:pPr>
          </w:p>
        </w:tc>
        <w:tc>
          <w:tcPr>
            <w:tcW w:w="2680" w:type="dxa"/>
            <w:vAlign w:val="bottom"/>
            <w:shd w:val="clear" w:color="auto" w:fill="2D53A6"/>
          </w:tcPr>
          <w:p>
            <w:pPr>
              <w:spacing w:after="0" w:line="20" w:lineRule="exact"/>
              <w:rPr>
                <w:sz w:val="1"/>
                <w:szCs w:val="1"/>
                <w:color w:val="auto"/>
              </w:rPr>
            </w:pPr>
          </w:p>
        </w:tc>
        <w:tc>
          <w:tcPr>
            <w:tcW w:w="2420" w:type="dxa"/>
            <w:vAlign w:val="bottom"/>
            <w:shd w:val="clear" w:color="auto" w:fill="2D53A6"/>
          </w:tcPr>
          <w:p>
            <w:pPr>
              <w:spacing w:after="0" w:line="20" w:lineRule="exact"/>
              <w:rPr>
                <w:sz w:val="1"/>
                <w:szCs w:val="1"/>
                <w:color w:val="auto"/>
              </w:rPr>
            </w:pPr>
          </w:p>
        </w:tc>
        <w:tc>
          <w:tcPr>
            <w:tcW w:w="3340" w:type="dxa"/>
            <w:vAlign w:val="bottom"/>
            <w:shd w:val="clear" w:color="auto" w:fill="2D53A6"/>
          </w:tcPr>
          <w:p>
            <w:pPr>
              <w:spacing w:after="0" w:line="20" w:lineRule="exact"/>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Effective October 15, 2024, SMART Global Holdings rebranded and began trading as Penguin Solutions</w:t>
      </w:r>
    </w:p>
    <w:p>
      <w:pPr>
        <w:spacing w:after="0" w:line="19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Generally, historical data on the compensation practices of the companies in the compensation peer group was gathered by Compensia from publicly available sources, including publicly available databases. Peer company data was gathered with respect to base salary, target annual incentive opportunities, equity awards (including stock options, RSU awards, and PSU awards), and long-term cash-based awards. In addition, similar data was gathered from the Radford McLagan Compensation Database for purposes of providing additional perspective in the case of executive positions where the compensation peer group offered a limited number of relevant data points.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Elements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consists of seven principal elements:</w:t>
      </w:r>
    </w:p>
    <w:p>
      <w:pPr>
        <w:spacing w:after="0" w:line="198"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Short-term incentive compensation opportunities paid in cash;</w:t>
      </w:r>
    </w:p>
    <w:p>
      <w:pPr>
        <w:ind w:left="660" w:hanging="328"/>
        <w:spacing w:after="0" w:line="23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Long-term incentive compensation in the form of equity awards;</w:t>
      </w:r>
    </w:p>
    <w:p>
      <w:pPr>
        <w:ind w:left="660" w:hanging="328"/>
        <w:spacing w:after="0" w:line="23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Deferred compensation benefits;</w:t>
      </w:r>
    </w:p>
    <w:p>
      <w:pPr>
        <w:ind w:left="660" w:hanging="328"/>
        <w:spacing w:after="0" w:line="23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Welfare and health benefits, including a Section 401(k) plan;</w:t>
      </w:r>
    </w:p>
    <w:p>
      <w:pPr>
        <w:ind w:left="660" w:hanging="328"/>
        <w:spacing w:after="0" w:line="23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Post employment compensation and retirement equity programs; and</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Limited perquisites and other personal benefits.</w:t>
      </w:r>
    </w:p>
    <w:p>
      <w:pPr>
        <w:spacing w:after="0" w:line="180"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Compensation Committee has selected these elements because each is considered necessary, appropriate and when combined are effective, and will continue to be effective, in achieving our compensation objectives.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96"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believe that a competitive base salary is a necessary element of our executive compensation program, so that we can attract and retain experienced executive officers. Base salaries for our executive officers are also intended to be competitive with those received by other individuals in similar positions at the companies with which we compete for talent, as well as to be equitable across the management team.</w:t>
      </w:r>
    </w:p>
    <w:p>
      <w:pPr>
        <w:spacing w:after="0" w:line="138"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Compensation Committee reviews the base salaries of our executive officers, including our NEOs, annually and makes adjustments to base salaries as it determines to be necessary or appropriate.</w:t>
      </w:r>
    </w:p>
    <w:p>
      <w:pPr>
        <w:spacing w:after="0" w:line="140" w:lineRule="exact"/>
        <w:rPr>
          <w:sz w:val="20"/>
          <w:szCs w:val="20"/>
          <w:color w:val="auto"/>
        </w:rPr>
      </w:pPr>
    </w:p>
    <w:p>
      <w:pPr>
        <w:ind w:right="760"/>
        <w:spacing w:after="0" w:line="253" w:lineRule="auto"/>
        <w:rPr>
          <w:sz w:val="20"/>
          <w:szCs w:val="20"/>
          <w:color w:val="auto"/>
        </w:rPr>
      </w:pPr>
      <w:r>
        <w:rPr>
          <w:rFonts w:ascii="Arial" w:cs="Arial" w:eastAsia="Arial" w:hAnsi="Arial"/>
          <w:sz w:val="18"/>
          <w:szCs w:val="18"/>
          <w:color w:val="auto"/>
        </w:rPr>
        <w:t>On February 6, 2024, the Compensation Committee, based on the recommendations of our CEO, except with respect to his own compensation, and a review of market salary data as well as other factors described above including the extended downcycle of the semiconductor industry, determined that no increases were warranted for our executive officers including our NEOs.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340" w:type="dxa"/>
            <w:vAlign w:val="bottom"/>
            <w:tcBorders>
              <w:right w:val="single" w:sz="8" w:color="2D53A6"/>
            </w:tcBorders>
            <w:vMerge w:val="restart"/>
            <w:shd w:val="clear" w:color="auto" w:fill="2D53A6"/>
          </w:tcPr>
          <w:p>
            <w:pPr>
              <w:ind w:left="40"/>
              <w:spacing w:after="0"/>
              <w:rPr>
                <w:sz w:val="20"/>
                <w:szCs w:val="20"/>
                <w:color w:val="auto"/>
              </w:rPr>
            </w:pPr>
            <w:r>
              <w:rPr>
                <w:rFonts w:ascii="Arial" w:cs="Arial" w:eastAsia="Arial" w:hAnsi="Arial"/>
                <w:sz w:val="20"/>
                <w:szCs w:val="20"/>
                <w:b w:val="1"/>
                <w:bCs w:val="1"/>
                <w:color w:val="FFFFFF"/>
              </w:rPr>
              <w:t>Named Executive Officer</w:t>
            </w:r>
          </w:p>
        </w:tc>
        <w:tc>
          <w:tcPr>
            <w:tcW w:w="1640" w:type="dxa"/>
            <w:vAlign w:val="bottom"/>
            <w:tcBorders>
              <w:right w:val="single" w:sz="8" w:color="2D53A6"/>
            </w:tcBorders>
            <w:shd w:val="clear" w:color="auto" w:fill="2D53A6"/>
          </w:tcPr>
          <w:p>
            <w:pPr>
              <w:jc w:val="right"/>
              <w:ind w:right="527"/>
              <w:spacing w:after="0"/>
              <w:rPr>
                <w:sz w:val="20"/>
                <w:szCs w:val="20"/>
                <w:color w:val="auto"/>
              </w:rPr>
            </w:pPr>
            <w:r>
              <w:rPr>
                <w:rFonts w:ascii="Arial" w:cs="Arial" w:eastAsia="Arial" w:hAnsi="Arial"/>
                <w:sz w:val="20"/>
                <w:szCs w:val="20"/>
                <w:b w:val="1"/>
                <w:bCs w:val="1"/>
                <w:color w:val="FFFFFF"/>
              </w:rPr>
              <w:t>2023</w:t>
            </w:r>
          </w:p>
        </w:tc>
        <w:tc>
          <w:tcPr>
            <w:tcW w:w="1640" w:type="dxa"/>
            <w:vAlign w:val="bottom"/>
            <w:tcBorders>
              <w:right w:val="single" w:sz="8" w:color="2D53A6"/>
            </w:tcBorders>
            <w:shd w:val="clear" w:color="auto" w:fill="2D53A6"/>
          </w:tcPr>
          <w:p>
            <w:pPr>
              <w:jc w:val="right"/>
              <w:ind w:right="527"/>
              <w:spacing w:after="0"/>
              <w:rPr>
                <w:sz w:val="20"/>
                <w:szCs w:val="20"/>
                <w:color w:val="auto"/>
              </w:rPr>
            </w:pPr>
            <w:r>
              <w:rPr>
                <w:rFonts w:ascii="Arial" w:cs="Arial" w:eastAsia="Arial" w:hAnsi="Arial"/>
                <w:sz w:val="20"/>
                <w:szCs w:val="20"/>
                <w:b w:val="1"/>
                <w:bCs w:val="1"/>
                <w:color w:val="FFFFFF"/>
              </w:rPr>
              <w:t>2024</w:t>
            </w:r>
          </w:p>
        </w:tc>
        <w:tc>
          <w:tcPr>
            <w:tcW w:w="1620" w:type="dxa"/>
            <w:vAlign w:val="bottom"/>
            <w:shd w:val="clear" w:color="auto" w:fill="2D53A6"/>
          </w:tcPr>
          <w:p>
            <w:pPr>
              <w:jc w:val="center"/>
              <w:spacing w:after="0"/>
              <w:rPr>
                <w:sz w:val="20"/>
                <w:szCs w:val="20"/>
                <w:color w:val="auto"/>
              </w:rPr>
            </w:pPr>
            <w:r>
              <w:rPr>
                <w:rFonts w:ascii="Arial" w:cs="Arial" w:eastAsia="Arial" w:hAnsi="Arial"/>
                <w:sz w:val="20"/>
                <w:szCs w:val="20"/>
                <w:b w:val="1"/>
                <w:bCs w:val="1"/>
                <w:color w:val="FFFFFF"/>
              </w:rPr>
              <w:t>Percentage</w:t>
            </w:r>
          </w:p>
        </w:tc>
        <w:tc>
          <w:tcPr>
            <w:tcW w:w="0" w:type="dxa"/>
            <w:vAlign w:val="bottom"/>
          </w:tcPr>
          <w:p>
            <w:pPr>
              <w:spacing w:after="0"/>
              <w:rPr>
                <w:sz w:val="1"/>
                <w:szCs w:val="1"/>
                <w:color w:val="auto"/>
              </w:rPr>
            </w:pPr>
          </w:p>
        </w:tc>
      </w:tr>
      <w:tr>
        <w:trPr>
          <w:trHeight w:val="165"/>
        </w:trPr>
        <w:tc>
          <w:tcPr>
            <w:tcW w:w="6340" w:type="dxa"/>
            <w:vAlign w:val="bottom"/>
            <w:tcBorders>
              <w:right w:val="single" w:sz="8" w:color="2D53A6"/>
            </w:tcBorders>
            <w:vMerge w:val="continue"/>
            <w:shd w:val="clear" w:color="auto" w:fill="2D53A6"/>
          </w:tcPr>
          <w:p>
            <w:pPr>
              <w:spacing w:after="0"/>
              <w:rPr>
                <w:sz w:val="14"/>
                <w:szCs w:val="14"/>
                <w:color w:val="auto"/>
              </w:rPr>
            </w:pPr>
          </w:p>
        </w:tc>
        <w:tc>
          <w:tcPr>
            <w:tcW w:w="1640" w:type="dxa"/>
            <w:vAlign w:val="bottom"/>
            <w:tcBorders>
              <w:right w:val="single" w:sz="8" w:color="2D53A6"/>
            </w:tcBorders>
            <w:vMerge w:val="restart"/>
            <w:shd w:val="clear" w:color="auto" w:fill="2D53A6"/>
          </w:tcPr>
          <w:p>
            <w:pPr>
              <w:jc w:val="right"/>
              <w:ind w:right="167"/>
              <w:spacing w:after="0"/>
              <w:rPr>
                <w:sz w:val="20"/>
                <w:szCs w:val="20"/>
                <w:color w:val="auto"/>
              </w:rPr>
            </w:pPr>
            <w:r>
              <w:rPr>
                <w:rFonts w:ascii="Arial" w:cs="Arial" w:eastAsia="Arial" w:hAnsi="Arial"/>
                <w:sz w:val="20"/>
                <w:szCs w:val="20"/>
                <w:b w:val="1"/>
                <w:bCs w:val="1"/>
                <w:color w:val="FFFFFF"/>
              </w:rPr>
              <w:t>Base Salary</w:t>
            </w:r>
          </w:p>
        </w:tc>
        <w:tc>
          <w:tcPr>
            <w:tcW w:w="1640" w:type="dxa"/>
            <w:vAlign w:val="bottom"/>
            <w:tcBorders>
              <w:right w:val="single" w:sz="8" w:color="2D53A6"/>
            </w:tcBorders>
            <w:vMerge w:val="restart"/>
            <w:shd w:val="clear" w:color="auto" w:fill="2D53A6"/>
          </w:tcPr>
          <w:p>
            <w:pPr>
              <w:jc w:val="right"/>
              <w:ind w:right="187"/>
              <w:spacing w:after="0"/>
              <w:rPr>
                <w:sz w:val="20"/>
                <w:szCs w:val="20"/>
                <w:color w:val="auto"/>
              </w:rPr>
            </w:pPr>
            <w:r>
              <w:rPr>
                <w:rFonts w:ascii="Arial" w:cs="Arial" w:eastAsia="Arial" w:hAnsi="Arial"/>
                <w:sz w:val="20"/>
                <w:szCs w:val="20"/>
                <w:b w:val="1"/>
                <w:bCs w:val="1"/>
                <w:color w:val="FFFFFF"/>
              </w:rPr>
              <w:t>Base Salary</w:t>
            </w:r>
          </w:p>
        </w:tc>
        <w:tc>
          <w:tcPr>
            <w:tcW w:w="1620" w:type="dxa"/>
            <w:vAlign w:val="bottom"/>
            <w:vMerge w:val="restart"/>
            <w:shd w:val="clear" w:color="auto" w:fill="2D53A6"/>
          </w:tcPr>
          <w:p>
            <w:pPr>
              <w:jc w:val="center"/>
              <w:spacing w:after="0"/>
              <w:rPr>
                <w:sz w:val="20"/>
                <w:szCs w:val="20"/>
                <w:color w:val="auto"/>
              </w:rPr>
            </w:pPr>
            <w:r>
              <w:rPr>
                <w:rFonts w:ascii="Arial" w:cs="Arial" w:eastAsia="Arial" w:hAnsi="Arial"/>
                <w:sz w:val="20"/>
                <w:szCs w:val="20"/>
                <w:b w:val="1"/>
                <w:bCs w:val="1"/>
                <w:color w:val="FFFFFF"/>
                <w:w w:val="98"/>
              </w:rPr>
              <w:t>Change</w:t>
            </w:r>
          </w:p>
        </w:tc>
        <w:tc>
          <w:tcPr>
            <w:tcW w:w="0" w:type="dxa"/>
            <w:vAlign w:val="bottom"/>
          </w:tcPr>
          <w:p>
            <w:pPr>
              <w:spacing w:after="0"/>
              <w:rPr>
                <w:sz w:val="1"/>
                <w:szCs w:val="1"/>
                <w:color w:val="auto"/>
              </w:rPr>
            </w:pPr>
          </w:p>
        </w:tc>
      </w:tr>
      <w:tr>
        <w:trPr>
          <w:trHeight w:val="108"/>
        </w:trPr>
        <w:tc>
          <w:tcPr>
            <w:tcW w:w="6340" w:type="dxa"/>
            <w:vAlign w:val="bottom"/>
            <w:tcBorders>
              <w:bottom w:val="single" w:sz="8" w:color="2D53A6"/>
              <w:right w:val="single" w:sz="8" w:color="2D53A6"/>
            </w:tcBorders>
            <w:shd w:val="clear" w:color="auto" w:fill="2D53A6"/>
          </w:tcPr>
          <w:p>
            <w:pPr>
              <w:spacing w:after="0"/>
              <w:rPr>
                <w:sz w:val="9"/>
                <w:szCs w:val="9"/>
                <w:color w:val="auto"/>
              </w:rPr>
            </w:pPr>
          </w:p>
        </w:tc>
        <w:tc>
          <w:tcPr>
            <w:tcW w:w="1640" w:type="dxa"/>
            <w:vAlign w:val="bottom"/>
            <w:tcBorders>
              <w:bottom w:val="single" w:sz="8" w:color="2D53A6"/>
              <w:right w:val="single" w:sz="8" w:color="2D53A6"/>
            </w:tcBorders>
            <w:vMerge w:val="continue"/>
            <w:shd w:val="clear" w:color="auto" w:fill="2D53A6"/>
          </w:tcPr>
          <w:p>
            <w:pPr>
              <w:spacing w:after="0"/>
              <w:rPr>
                <w:sz w:val="9"/>
                <w:szCs w:val="9"/>
                <w:color w:val="auto"/>
              </w:rPr>
            </w:pPr>
          </w:p>
        </w:tc>
        <w:tc>
          <w:tcPr>
            <w:tcW w:w="1640" w:type="dxa"/>
            <w:vAlign w:val="bottom"/>
            <w:tcBorders>
              <w:bottom w:val="single" w:sz="8" w:color="2D53A6"/>
              <w:right w:val="single" w:sz="8" w:color="2D53A6"/>
            </w:tcBorders>
            <w:vMerge w:val="continue"/>
            <w:shd w:val="clear" w:color="auto" w:fill="2D53A6"/>
          </w:tcPr>
          <w:p>
            <w:pPr>
              <w:spacing w:after="0"/>
              <w:rPr>
                <w:sz w:val="9"/>
                <w:szCs w:val="9"/>
                <w:color w:val="auto"/>
              </w:rPr>
            </w:pPr>
          </w:p>
        </w:tc>
        <w:tc>
          <w:tcPr>
            <w:tcW w:w="1620" w:type="dxa"/>
            <w:vAlign w:val="bottom"/>
            <w:tcBorders>
              <w:bottom w:val="single" w:sz="8" w:color="2D53A6"/>
            </w:tcBorders>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261"/>
        </w:trPr>
        <w:tc>
          <w:tcPr>
            <w:tcW w:w="634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Luis A. Müller</w:t>
            </w:r>
          </w:p>
        </w:tc>
        <w:tc>
          <w:tcPr>
            <w:tcW w:w="1640" w:type="dxa"/>
            <w:vAlign w:val="bottom"/>
            <w:tcBorders>
              <w:right w:val="single" w:sz="8" w:color="2D53A6"/>
            </w:tcBorders>
          </w:tcPr>
          <w:p>
            <w:pPr>
              <w:jc w:val="right"/>
              <w:ind w:right="107"/>
              <w:spacing w:after="0"/>
              <w:rPr>
                <w:sz w:val="20"/>
                <w:szCs w:val="20"/>
                <w:color w:val="auto"/>
              </w:rPr>
            </w:pPr>
            <w:r>
              <w:rPr>
                <w:rFonts w:ascii="Arial" w:cs="Arial" w:eastAsia="Arial" w:hAnsi="Arial"/>
                <w:sz w:val="18"/>
                <w:szCs w:val="18"/>
                <w:color w:val="auto"/>
              </w:rPr>
              <w:t>$715,000</w:t>
            </w:r>
          </w:p>
        </w:tc>
        <w:tc>
          <w:tcPr>
            <w:tcW w:w="1640" w:type="dxa"/>
            <w:vAlign w:val="bottom"/>
            <w:tcBorders>
              <w:right w:val="single" w:sz="8" w:color="2D53A6"/>
            </w:tcBorders>
          </w:tcPr>
          <w:p>
            <w:pPr>
              <w:jc w:val="right"/>
              <w:ind w:right="127"/>
              <w:spacing w:after="0"/>
              <w:rPr>
                <w:sz w:val="20"/>
                <w:szCs w:val="20"/>
                <w:color w:val="auto"/>
              </w:rPr>
            </w:pPr>
            <w:r>
              <w:rPr>
                <w:rFonts w:ascii="Arial" w:cs="Arial" w:eastAsia="Arial" w:hAnsi="Arial"/>
                <w:sz w:val="18"/>
                <w:szCs w:val="18"/>
                <w:color w:val="auto"/>
              </w:rPr>
              <w:t>$715,000</w:t>
            </w:r>
          </w:p>
        </w:tc>
        <w:tc>
          <w:tcPr>
            <w:tcW w:w="1620" w:type="dxa"/>
            <w:vAlign w:val="bottom"/>
          </w:tcPr>
          <w:p>
            <w:pPr>
              <w:jc w:val="center"/>
              <w:spacing w:after="0"/>
              <w:rPr>
                <w:sz w:val="20"/>
                <w:szCs w:val="20"/>
                <w:color w:val="auto"/>
              </w:rPr>
            </w:pPr>
            <w:r>
              <w:rPr>
                <w:rFonts w:ascii="Arial" w:cs="Arial" w:eastAsia="Arial" w:hAnsi="Arial"/>
                <w:sz w:val="18"/>
                <w:szCs w:val="18"/>
                <w:color w:val="auto"/>
                <w:w w:val="97"/>
              </w:rPr>
              <w:t>0.0%</w:t>
            </w:r>
          </w:p>
        </w:tc>
        <w:tc>
          <w:tcPr>
            <w:tcW w:w="0" w:type="dxa"/>
            <w:vAlign w:val="bottom"/>
          </w:tcPr>
          <w:p>
            <w:pPr>
              <w:spacing w:after="0"/>
              <w:rPr>
                <w:sz w:val="1"/>
                <w:szCs w:val="1"/>
                <w:color w:val="auto"/>
              </w:rPr>
            </w:pPr>
          </w:p>
        </w:tc>
      </w:tr>
      <w:tr>
        <w:trPr>
          <w:trHeight w:val="23"/>
        </w:trPr>
        <w:tc>
          <w:tcPr>
            <w:tcW w:w="6340" w:type="dxa"/>
            <w:vAlign w:val="bottom"/>
            <w:tcBorders>
              <w:bottom w:val="single" w:sz="8" w:color="2D53A6"/>
              <w:right w:val="single" w:sz="8" w:color="2D53A6"/>
            </w:tcBorders>
          </w:tcPr>
          <w:p>
            <w:pPr>
              <w:spacing w:after="0"/>
              <w:rPr>
                <w:sz w:val="2"/>
                <w:szCs w:val="2"/>
                <w:color w:val="auto"/>
              </w:rPr>
            </w:pPr>
          </w:p>
        </w:tc>
        <w:tc>
          <w:tcPr>
            <w:tcW w:w="1640" w:type="dxa"/>
            <w:vAlign w:val="bottom"/>
            <w:tcBorders>
              <w:bottom w:val="single" w:sz="8" w:color="2D53A6"/>
              <w:right w:val="single" w:sz="8" w:color="2D53A6"/>
            </w:tcBorders>
          </w:tcPr>
          <w:p>
            <w:pPr>
              <w:spacing w:after="0"/>
              <w:rPr>
                <w:sz w:val="2"/>
                <w:szCs w:val="2"/>
                <w:color w:val="auto"/>
              </w:rPr>
            </w:pPr>
          </w:p>
        </w:tc>
        <w:tc>
          <w:tcPr>
            <w:tcW w:w="1640" w:type="dxa"/>
            <w:vAlign w:val="bottom"/>
            <w:tcBorders>
              <w:bottom w:val="single" w:sz="8" w:color="2D53A6"/>
              <w:right w:val="single" w:sz="8" w:color="2D53A6"/>
            </w:tcBorders>
          </w:tcPr>
          <w:p>
            <w:pPr>
              <w:spacing w:after="0"/>
              <w:rPr>
                <w:sz w:val="2"/>
                <w:szCs w:val="2"/>
                <w:color w:val="auto"/>
              </w:rPr>
            </w:pPr>
          </w:p>
        </w:tc>
        <w:tc>
          <w:tcPr>
            <w:tcW w:w="162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34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Jeffrey D. Jones</w:t>
            </w:r>
          </w:p>
        </w:tc>
        <w:tc>
          <w:tcPr>
            <w:tcW w:w="1640" w:type="dxa"/>
            <w:vAlign w:val="bottom"/>
            <w:tcBorders>
              <w:bottom w:val="single" w:sz="8" w:color="E6E6E6"/>
              <w:right w:val="single" w:sz="8" w:color="2D53A6"/>
            </w:tcBorders>
            <w:shd w:val="clear" w:color="auto" w:fill="E6E6E6"/>
          </w:tcPr>
          <w:p>
            <w:pPr>
              <w:jc w:val="right"/>
              <w:ind w:right="107"/>
              <w:spacing w:after="0"/>
              <w:rPr>
                <w:sz w:val="20"/>
                <w:szCs w:val="20"/>
                <w:color w:val="auto"/>
              </w:rPr>
            </w:pPr>
            <w:r>
              <w:rPr>
                <w:rFonts w:ascii="Arial" w:cs="Arial" w:eastAsia="Arial" w:hAnsi="Arial"/>
                <w:sz w:val="18"/>
                <w:szCs w:val="18"/>
                <w:color w:val="auto"/>
              </w:rPr>
              <w:t>$455,000</w:t>
            </w:r>
          </w:p>
        </w:tc>
        <w:tc>
          <w:tcPr>
            <w:tcW w:w="1640" w:type="dxa"/>
            <w:vAlign w:val="bottom"/>
            <w:tcBorders>
              <w:bottom w:val="single" w:sz="8" w:color="E6E6E6"/>
              <w:right w:val="single" w:sz="8" w:color="2D53A6"/>
            </w:tcBorders>
            <w:shd w:val="clear" w:color="auto" w:fill="E6E6E6"/>
          </w:tcPr>
          <w:p>
            <w:pPr>
              <w:jc w:val="right"/>
              <w:ind w:right="127"/>
              <w:spacing w:after="0"/>
              <w:rPr>
                <w:sz w:val="20"/>
                <w:szCs w:val="20"/>
                <w:color w:val="auto"/>
              </w:rPr>
            </w:pPr>
            <w:r>
              <w:rPr>
                <w:rFonts w:ascii="Arial" w:cs="Arial" w:eastAsia="Arial" w:hAnsi="Arial"/>
                <w:sz w:val="18"/>
                <w:szCs w:val="18"/>
                <w:color w:val="auto"/>
              </w:rPr>
              <w:t>$455,000</w:t>
            </w:r>
          </w:p>
        </w:tc>
        <w:tc>
          <w:tcPr>
            <w:tcW w:w="16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0.0%</w:t>
            </w:r>
          </w:p>
        </w:tc>
        <w:tc>
          <w:tcPr>
            <w:tcW w:w="0" w:type="dxa"/>
            <w:vAlign w:val="bottom"/>
          </w:tcPr>
          <w:p>
            <w:pPr>
              <w:spacing w:after="0"/>
              <w:rPr>
                <w:sz w:val="1"/>
                <w:szCs w:val="1"/>
                <w:color w:val="auto"/>
              </w:rPr>
            </w:pPr>
          </w:p>
        </w:tc>
      </w:tr>
      <w:tr>
        <w:trPr>
          <w:trHeight w:val="254"/>
        </w:trPr>
        <w:tc>
          <w:tcPr>
            <w:tcW w:w="634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Christopher G. Bohrson</w:t>
            </w:r>
          </w:p>
        </w:tc>
        <w:tc>
          <w:tcPr>
            <w:tcW w:w="1640" w:type="dxa"/>
            <w:vAlign w:val="bottom"/>
            <w:tcBorders>
              <w:top w:val="single" w:sz="8" w:color="2D53A6"/>
              <w:right w:val="single" w:sz="8" w:color="2D53A6"/>
            </w:tcBorders>
          </w:tcPr>
          <w:p>
            <w:pPr>
              <w:jc w:val="right"/>
              <w:ind w:right="107"/>
              <w:spacing w:after="0"/>
              <w:rPr>
                <w:sz w:val="20"/>
                <w:szCs w:val="20"/>
                <w:color w:val="auto"/>
              </w:rPr>
            </w:pPr>
            <w:r>
              <w:rPr>
                <w:rFonts w:ascii="Arial" w:cs="Arial" w:eastAsia="Arial" w:hAnsi="Arial"/>
                <w:sz w:val="18"/>
                <w:szCs w:val="18"/>
                <w:color w:val="auto"/>
              </w:rPr>
              <w:t>$425,000</w:t>
            </w:r>
          </w:p>
        </w:tc>
        <w:tc>
          <w:tcPr>
            <w:tcW w:w="1640" w:type="dxa"/>
            <w:vAlign w:val="bottom"/>
            <w:tcBorders>
              <w:top w:val="single" w:sz="8" w:color="2D53A6"/>
              <w:right w:val="single" w:sz="8" w:color="2D53A6"/>
            </w:tcBorders>
          </w:tcPr>
          <w:p>
            <w:pPr>
              <w:jc w:val="right"/>
              <w:ind w:right="127"/>
              <w:spacing w:after="0"/>
              <w:rPr>
                <w:sz w:val="20"/>
                <w:szCs w:val="20"/>
                <w:color w:val="auto"/>
              </w:rPr>
            </w:pPr>
            <w:r>
              <w:rPr>
                <w:rFonts w:ascii="Arial" w:cs="Arial" w:eastAsia="Arial" w:hAnsi="Arial"/>
                <w:sz w:val="18"/>
                <w:szCs w:val="18"/>
                <w:color w:val="auto"/>
              </w:rPr>
              <w:t>$425,000</w:t>
            </w:r>
          </w:p>
        </w:tc>
        <w:tc>
          <w:tcPr>
            <w:tcW w:w="162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7"/>
              </w:rPr>
              <w:t>0.0%</w:t>
            </w:r>
          </w:p>
        </w:tc>
        <w:tc>
          <w:tcPr>
            <w:tcW w:w="0" w:type="dxa"/>
            <w:vAlign w:val="bottom"/>
          </w:tcPr>
          <w:p>
            <w:pPr>
              <w:spacing w:after="0"/>
              <w:rPr>
                <w:sz w:val="1"/>
                <w:szCs w:val="1"/>
                <w:color w:val="auto"/>
              </w:rPr>
            </w:pPr>
          </w:p>
        </w:tc>
      </w:tr>
      <w:tr>
        <w:trPr>
          <w:trHeight w:val="23"/>
        </w:trPr>
        <w:tc>
          <w:tcPr>
            <w:tcW w:w="6340" w:type="dxa"/>
            <w:vAlign w:val="bottom"/>
            <w:tcBorders>
              <w:bottom w:val="single" w:sz="8" w:color="2D53A6"/>
              <w:right w:val="single" w:sz="8" w:color="2D53A6"/>
            </w:tcBorders>
          </w:tcPr>
          <w:p>
            <w:pPr>
              <w:spacing w:after="0"/>
              <w:rPr>
                <w:sz w:val="2"/>
                <w:szCs w:val="2"/>
                <w:color w:val="auto"/>
              </w:rPr>
            </w:pPr>
          </w:p>
        </w:tc>
        <w:tc>
          <w:tcPr>
            <w:tcW w:w="1640" w:type="dxa"/>
            <w:vAlign w:val="bottom"/>
            <w:tcBorders>
              <w:bottom w:val="single" w:sz="8" w:color="2D53A6"/>
              <w:right w:val="single" w:sz="8" w:color="2D53A6"/>
            </w:tcBorders>
          </w:tcPr>
          <w:p>
            <w:pPr>
              <w:spacing w:after="0"/>
              <w:rPr>
                <w:sz w:val="2"/>
                <w:szCs w:val="2"/>
                <w:color w:val="auto"/>
              </w:rPr>
            </w:pPr>
          </w:p>
        </w:tc>
        <w:tc>
          <w:tcPr>
            <w:tcW w:w="1640" w:type="dxa"/>
            <w:vAlign w:val="bottom"/>
            <w:tcBorders>
              <w:bottom w:val="single" w:sz="8" w:color="2D53A6"/>
              <w:right w:val="single" w:sz="8" w:color="2D53A6"/>
            </w:tcBorders>
          </w:tcPr>
          <w:p>
            <w:pPr>
              <w:spacing w:after="0"/>
              <w:rPr>
                <w:sz w:val="2"/>
                <w:szCs w:val="2"/>
                <w:color w:val="auto"/>
              </w:rPr>
            </w:pPr>
          </w:p>
        </w:tc>
        <w:tc>
          <w:tcPr>
            <w:tcW w:w="162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4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 xml:space="preserve">Thomas D. Kampfer </w:t>
            </w:r>
            <w:r>
              <w:rPr>
                <w:rFonts w:ascii="Arial" w:cs="Arial" w:eastAsia="Arial" w:hAnsi="Arial"/>
                <w:sz w:val="14"/>
                <w:szCs w:val="14"/>
                <w:color w:val="auto"/>
              </w:rPr>
              <w:t>(1)</w:t>
            </w:r>
          </w:p>
        </w:tc>
        <w:tc>
          <w:tcPr>
            <w:tcW w:w="1640" w:type="dxa"/>
            <w:vAlign w:val="bottom"/>
            <w:tcBorders>
              <w:bottom w:val="single" w:sz="8" w:color="E6E6E6"/>
              <w:right w:val="single" w:sz="8" w:color="2D53A6"/>
            </w:tcBorders>
            <w:shd w:val="clear" w:color="auto" w:fill="E6E6E6"/>
          </w:tcPr>
          <w:p>
            <w:pPr>
              <w:jc w:val="right"/>
              <w:ind w:right="107"/>
              <w:spacing w:after="0"/>
              <w:rPr>
                <w:sz w:val="20"/>
                <w:szCs w:val="20"/>
                <w:color w:val="auto"/>
              </w:rPr>
            </w:pPr>
            <w:r>
              <w:rPr>
                <w:rFonts w:ascii="Arial" w:cs="Arial" w:eastAsia="Arial" w:hAnsi="Arial"/>
                <w:sz w:val="18"/>
                <w:szCs w:val="18"/>
                <w:color w:val="auto"/>
              </w:rPr>
              <w:t>$405,000</w:t>
            </w:r>
          </w:p>
        </w:tc>
        <w:tc>
          <w:tcPr>
            <w:tcW w:w="1640" w:type="dxa"/>
            <w:vAlign w:val="bottom"/>
            <w:tcBorders>
              <w:bottom w:val="single" w:sz="8" w:color="E6E6E6"/>
              <w:right w:val="single" w:sz="8" w:color="2D53A6"/>
            </w:tcBorders>
            <w:shd w:val="clear" w:color="auto" w:fill="E6E6E6"/>
          </w:tcPr>
          <w:p>
            <w:pPr>
              <w:jc w:val="right"/>
              <w:ind w:right="127"/>
              <w:spacing w:after="0"/>
              <w:rPr>
                <w:sz w:val="20"/>
                <w:szCs w:val="20"/>
                <w:color w:val="auto"/>
              </w:rPr>
            </w:pPr>
            <w:r>
              <w:rPr>
                <w:rFonts w:ascii="Arial" w:cs="Arial" w:eastAsia="Arial" w:hAnsi="Arial"/>
                <w:sz w:val="18"/>
                <w:szCs w:val="18"/>
                <w:color w:val="auto"/>
              </w:rPr>
              <w:t>$405,000</w:t>
            </w:r>
          </w:p>
        </w:tc>
        <w:tc>
          <w:tcPr>
            <w:tcW w:w="16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7"/>
              </w:rPr>
              <w:t>0.0%</w:t>
            </w:r>
          </w:p>
        </w:tc>
        <w:tc>
          <w:tcPr>
            <w:tcW w:w="0" w:type="dxa"/>
            <w:vAlign w:val="bottom"/>
          </w:tcPr>
          <w:p>
            <w:pPr>
              <w:spacing w:after="0"/>
              <w:rPr>
                <w:sz w:val="1"/>
                <w:szCs w:val="1"/>
                <w:color w:val="auto"/>
              </w:rPr>
            </w:pPr>
          </w:p>
        </w:tc>
      </w:tr>
      <w:tr>
        <w:trPr>
          <w:trHeight w:val="20"/>
        </w:trPr>
        <w:tc>
          <w:tcPr>
            <w:tcW w:w="6340" w:type="dxa"/>
            <w:vAlign w:val="bottom"/>
            <w:tcBorders>
              <w:right w:val="single" w:sz="8" w:color="2D53A6"/>
            </w:tcBorders>
            <w:shd w:val="clear" w:color="auto" w:fill="2D53A6"/>
          </w:tcPr>
          <w:p>
            <w:pPr>
              <w:spacing w:after="0" w:line="20" w:lineRule="exact"/>
              <w:rPr>
                <w:sz w:val="1"/>
                <w:szCs w:val="1"/>
                <w:color w:val="auto"/>
              </w:rPr>
            </w:pPr>
          </w:p>
        </w:tc>
        <w:tc>
          <w:tcPr>
            <w:tcW w:w="1640" w:type="dxa"/>
            <w:vAlign w:val="bottom"/>
            <w:tcBorders>
              <w:right w:val="single" w:sz="8" w:color="2D53A6"/>
            </w:tcBorders>
            <w:shd w:val="clear" w:color="auto" w:fill="2D53A6"/>
          </w:tcPr>
          <w:p>
            <w:pPr>
              <w:spacing w:after="0" w:line="20" w:lineRule="exact"/>
              <w:rPr>
                <w:sz w:val="1"/>
                <w:szCs w:val="1"/>
                <w:color w:val="auto"/>
              </w:rPr>
            </w:pPr>
          </w:p>
        </w:tc>
        <w:tc>
          <w:tcPr>
            <w:tcW w:w="1640" w:type="dxa"/>
            <w:vAlign w:val="bottom"/>
            <w:tcBorders>
              <w:right w:val="single" w:sz="8" w:color="2D53A6"/>
            </w:tcBorders>
            <w:shd w:val="clear" w:color="auto" w:fill="2D53A6"/>
          </w:tcPr>
          <w:p>
            <w:pPr>
              <w:spacing w:after="0" w:line="20" w:lineRule="exact"/>
              <w:rPr>
                <w:sz w:val="1"/>
                <w:szCs w:val="1"/>
                <w:color w:val="auto"/>
              </w:rPr>
            </w:pPr>
          </w:p>
        </w:tc>
        <w:tc>
          <w:tcPr>
            <w:tcW w:w="1620" w:type="dxa"/>
            <w:vAlign w:val="bottom"/>
            <w:shd w:val="clear" w:color="auto" w:fill="2D53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 Effective July 15, 2024, Mr. Kampfer’s 2024 base salary was changed to $243,000 reflecting his transition to part-time status.</w:t>
      </w:r>
    </w:p>
    <w:p>
      <w:pPr>
        <w:spacing w:after="0" w:line="19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On February 6, 2025, the Compensation Committee, based on the recommendations of Dr. Müller, except with respect to his own base salary, and an analysis of competitive market salary data prepared by its compensation consultant as well as other business condition factors described above including the continuing softness in the semiconductor industry, determined that there would be no change to the base salaries for our executive officers, including our NEOs in 2025.</w:t>
      </w:r>
    </w:p>
    <w:p>
      <w:pPr>
        <w:spacing w:after="0" w:line="160" w:lineRule="exact"/>
        <w:rPr>
          <w:sz w:val="20"/>
          <w:szCs w:val="20"/>
          <w:color w:val="auto"/>
        </w:rPr>
      </w:pPr>
    </w:p>
    <w:p>
      <w:pPr>
        <w:ind w:right="1940"/>
        <w:spacing w:after="0" w:line="469" w:lineRule="auto"/>
        <w:rPr>
          <w:sz w:val="20"/>
          <w:szCs w:val="20"/>
          <w:color w:val="auto"/>
        </w:rPr>
      </w:pPr>
      <w:r>
        <w:rPr>
          <w:rFonts w:ascii="Arial" w:cs="Arial" w:eastAsia="Arial" w:hAnsi="Arial"/>
          <w:sz w:val="18"/>
          <w:szCs w:val="18"/>
          <w:color w:val="auto"/>
        </w:rPr>
        <w:t xml:space="preserve">The annual base salaries paid to our NEOs for 2024 are set forth in the “2024 Summary Compensation Table” below. </w:t>
      </w:r>
      <w:r>
        <w:rPr>
          <w:rFonts w:ascii="Arial" w:cs="Arial" w:eastAsia="Arial" w:hAnsi="Arial"/>
          <w:sz w:val="18"/>
          <w:szCs w:val="18"/>
          <w:u w:val="single" w:color="auto"/>
          <w:color w:val="auto"/>
        </w:rPr>
        <w:t>Short-Term Incentive Plan</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Each year the Compensation Committee approves an annual short-term incentive plan for our executive officers, including our NEOs, to encourage and award their achievement of our financial and operational objectives as set forth in our annual operating plan. Under this short-term incentive plan, the Compensation Committee establishes an incentive formula that is applied to the actual level of achievement for each of the pre-selected performance measures. The incentive formula is based on the anticipated difficulty and relative importance of achieving the target level for each respective performance measure. Accordingly, the actual incentives paid, if any, for any given year will vary depending on our actual performance.</w:t>
      </w:r>
    </w:p>
    <w:p>
      <w:pPr>
        <w:spacing w:after="0" w:line="165"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To support our retention objectives, typically the short-term incentive plan provides that an executive officer must be an employee when the incentives for the year are paid. The short-term incentive plan provides that the Compensation Committee has the discretion to decrease, but not increase, any incentives paid under the plan, even if the applicable performance objectives have been achieved. Historically, incentives have been payable in cash unless an executive officer elects to defer all or part of his or her incentive into the Cohu, Inc. Deferred Compensation Plan.</w:t>
      </w:r>
    </w:p>
    <w:p>
      <w:pPr>
        <w:spacing w:after="0" w:line="163"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On February 6, 2024, the Compensation Committee adopted the short-term incentive plan for 2024 (the “2024 STI”). The 2024 STI was adopted pursuant to the Cohu 2005 Equity Incentive Plan (the “2005 Plan”).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Target Short-Term Incentive Opportunities</w:t>
      </w:r>
    </w:p>
    <w:p>
      <w:pPr>
        <w:spacing w:after="0" w:line="198"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For purposes of the 2024 STI, our CEO made recommendations to the Compensation Committee with respect to target short-term incentive opportunities (expressed as a percentage of base salary) for each of our executive officers, including our NEOs (except with respect to his own target short-term incentive opportunity). The maximum payout level was 200% of the target award. The target short-term incentive opportunities approved by the Compensation Committee for our NEOs, and the range of potential incentives as a percentage of base salary, were as follows and remained unchanged from 2023 target short-term incentives opportunities: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420" w:type="dxa"/>
            <w:vAlign w:val="bottom"/>
            <w:tcBorders>
              <w:right w:val="single" w:sz="8" w:color="2D53A6"/>
            </w:tcBorders>
            <w:shd w:val="clear" w:color="auto" w:fill="2D53A6"/>
          </w:tcPr>
          <w:p>
            <w:pPr>
              <w:spacing w:after="0"/>
              <w:rPr>
                <w:sz w:val="19"/>
                <w:szCs w:val="19"/>
                <w:color w:val="auto"/>
              </w:rPr>
            </w:pPr>
          </w:p>
        </w:tc>
        <w:tc>
          <w:tcPr>
            <w:tcW w:w="34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8"/>
              </w:rPr>
              <w:t>2024 Target Short-Term Incentive</w:t>
            </w:r>
          </w:p>
        </w:tc>
        <w:tc>
          <w:tcPr>
            <w:tcW w:w="336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rPr>
              <w:t>Range of Possible 2024</w:t>
            </w:r>
          </w:p>
        </w:tc>
        <w:tc>
          <w:tcPr>
            <w:tcW w:w="0" w:type="dxa"/>
            <w:vAlign w:val="bottom"/>
          </w:tcPr>
          <w:p>
            <w:pPr>
              <w:spacing w:after="0"/>
              <w:rPr>
                <w:sz w:val="1"/>
                <w:szCs w:val="1"/>
                <w:color w:val="auto"/>
              </w:rPr>
            </w:pPr>
          </w:p>
        </w:tc>
      </w:tr>
      <w:tr>
        <w:trPr>
          <w:trHeight w:val="94"/>
        </w:trPr>
        <w:tc>
          <w:tcPr>
            <w:tcW w:w="4420" w:type="dxa"/>
            <w:vAlign w:val="bottom"/>
            <w:tcBorders>
              <w:right w:val="single" w:sz="8" w:color="2D53A6"/>
            </w:tcBorders>
            <w:vMerge w:val="restart"/>
            <w:shd w:val="clear" w:color="auto" w:fill="2D53A6"/>
          </w:tcPr>
          <w:p>
            <w:pPr>
              <w:ind w:left="40"/>
              <w:spacing w:after="0" w:line="202" w:lineRule="exact"/>
              <w:rPr>
                <w:sz w:val="20"/>
                <w:szCs w:val="20"/>
                <w:color w:val="auto"/>
              </w:rPr>
            </w:pPr>
            <w:r>
              <w:rPr>
                <w:rFonts w:ascii="Arial" w:cs="Arial" w:eastAsia="Arial" w:hAnsi="Arial"/>
                <w:sz w:val="18"/>
                <w:szCs w:val="18"/>
                <w:b w:val="1"/>
                <w:bCs w:val="1"/>
                <w:color w:val="FFFFFF"/>
              </w:rPr>
              <w:t>Named Executive Officer</w:t>
            </w:r>
          </w:p>
        </w:tc>
        <w:tc>
          <w:tcPr>
            <w:tcW w:w="3460" w:type="dxa"/>
            <w:vAlign w:val="bottom"/>
            <w:tcBorders>
              <w:right w:val="single" w:sz="8" w:color="2D53A6"/>
            </w:tcBorders>
            <w:vMerge w:val="continue"/>
            <w:shd w:val="clear" w:color="auto" w:fill="2D53A6"/>
          </w:tcPr>
          <w:p>
            <w:pPr>
              <w:spacing w:after="0"/>
              <w:rPr>
                <w:sz w:val="8"/>
                <w:szCs w:val="8"/>
                <w:color w:val="auto"/>
              </w:rPr>
            </w:pPr>
          </w:p>
        </w:tc>
        <w:tc>
          <w:tcPr>
            <w:tcW w:w="336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Short-Term Incentive as</w:t>
            </w:r>
          </w:p>
        </w:tc>
        <w:tc>
          <w:tcPr>
            <w:tcW w:w="0" w:type="dxa"/>
            <w:vAlign w:val="bottom"/>
          </w:tcPr>
          <w:p>
            <w:pPr>
              <w:spacing w:after="0"/>
              <w:rPr>
                <w:sz w:val="1"/>
                <w:szCs w:val="1"/>
                <w:color w:val="auto"/>
              </w:rPr>
            </w:pPr>
          </w:p>
        </w:tc>
      </w:tr>
      <w:tr>
        <w:trPr>
          <w:trHeight w:val="108"/>
        </w:trPr>
        <w:tc>
          <w:tcPr>
            <w:tcW w:w="4420" w:type="dxa"/>
            <w:vAlign w:val="bottom"/>
            <w:tcBorders>
              <w:right w:val="single" w:sz="8" w:color="2D53A6"/>
            </w:tcBorders>
            <w:vMerge w:val="continue"/>
            <w:shd w:val="clear" w:color="auto" w:fill="2D53A6"/>
          </w:tcPr>
          <w:p>
            <w:pPr>
              <w:spacing w:after="0"/>
              <w:rPr>
                <w:sz w:val="9"/>
                <w:szCs w:val="9"/>
                <w:color w:val="auto"/>
              </w:rPr>
            </w:pPr>
          </w:p>
        </w:tc>
        <w:tc>
          <w:tcPr>
            <w:tcW w:w="34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rPr>
              <w:t>Opportunity</w:t>
            </w:r>
          </w:p>
        </w:tc>
        <w:tc>
          <w:tcPr>
            <w:tcW w:w="336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420" w:type="dxa"/>
            <w:vAlign w:val="bottom"/>
            <w:tcBorders>
              <w:right w:val="single" w:sz="8" w:color="2D53A6"/>
            </w:tcBorders>
            <w:shd w:val="clear" w:color="auto" w:fill="2D53A6"/>
          </w:tcPr>
          <w:p>
            <w:pPr>
              <w:spacing w:after="0"/>
              <w:rPr>
                <w:sz w:val="12"/>
                <w:szCs w:val="12"/>
                <w:color w:val="auto"/>
              </w:rPr>
            </w:pPr>
          </w:p>
        </w:tc>
        <w:tc>
          <w:tcPr>
            <w:tcW w:w="3460" w:type="dxa"/>
            <w:vAlign w:val="bottom"/>
            <w:tcBorders>
              <w:right w:val="single" w:sz="8" w:color="2D53A6"/>
            </w:tcBorders>
            <w:vMerge w:val="continue"/>
            <w:shd w:val="clear" w:color="auto" w:fill="2D53A6"/>
          </w:tcPr>
          <w:p>
            <w:pPr>
              <w:spacing w:after="0"/>
              <w:rPr>
                <w:sz w:val="12"/>
                <w:szCs w:val="12"/>
                <w:color w:val="auto"/>
              </w:rPr>
            </w:pPr>
          </w:p>
        </w:tc>
        <w:tc>
          <w:tcPr>
            <w:tcW w:w="33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Percentage of Base Salary</w:t>
            </w:r>
          </w:p>
        </w:tc>
        <w:tc>
          <w:tcPr>
            <w:tcW w:w="0" w:type="dxa"/>
            <w:vAlign w:val="bottom"/>
          </w:tcPr>
          <w:p>
            <w:pPr>
              <w:spacing w:after="0"/>
              <w:rPr>
                <w:sz w:val="1"/>
                <w:szCs w:val="1"/>
                <w:color w:val="auto"/>
              </w:rPr>
            </w:pPr>
          </w:p>
        </w:tc>
      </w:tr>
      <w:tr>
        <w:trPr>
          <w:trHeight w:val="117"/>
        </w:trPr>
        <w:tc>
          <w:tcPr>
            <w:tcW w:w="4420" w:type="dxa"/>
            <w:vAlign w:val="bottom"/>
            <w:tcBorders>
              <w:bottom w:val="single" w:sz="8" w:color="2D53A6"/>
              <w:right w:val="single" w:sz="8" w:color="2D53A6"/>
            </w:tcBorders>
            <w:shd w:val="clear" w:color="auto" w:fill="2D53A6"/>
          </w:tcPr>
          <w:p>
            <w:pPr>
              <w:spacing w:after="0"/>
              <w:rPr>
                <w:sz w:val="10"/>
                <w:szCs w:val="10"/>
                <w:color w:val="auto"/>
              </w:rPr>
            </w:pPr>
          </w:p>
        </w:tc>
        <w:tc>
          <w:tcPr>
            <w:tcW w:w="3460" w:type="dxa"/>
            <w:vAlign w:val="bottom"/>
            <w:tcBorders>
              <w:bottom w:val="single" w:sz="8" w:color="2D53A6"/>
              <w:right w:val="single" w:sz="8" w:color="2D53A6"/>
            </w:tcBorders>
            <w:shd w:val="clear" w:color="auto" w:fill="2D53A6"/>
          </w:tcPr>
          <w:p>
            <w:pPr>
              <w:spacing w:after="0"/>
              <w:rPr>
                <w:sz w:val="10"/>
                <w:szCs w:val="10"/>
                <w:color w:val="auto"/>
              </w:rPr>
            </w:pPr>
          </w:p>
        </w:tc>
        <w:tc>
          <w:tcPr>
            <w:tcW w:w="3360" w:type="dxa"/>
            <w:vAlign w:val="bottom"/>
            <w:tcBorders>
              <w:bottom w:val="single" w:sz="8" w:color="2D53A6"/>
            </w:tcBorders>
            <w:vMerge w:val="continue"/>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442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Luis A. Müller</w:t>
            </w:r>
          </w:p>
        </w:tc>
        <w:tc>
          <w:tcPr>
            <w:tcW w:w="34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5"/>
              </w:rPr>
              <w:t>110%</w:t>
            </w:r>
          </w:p>
        </w:tc>
        <w:tc>
          <w:tcPr>
            <w:tcW w:w="3360" w:type="dxa"/>
            <w:vAlign w:val="bottom"/>
          </w:tcPr>
          <w:p>
            <w:pPr>
              <w:jc w:val="center"/>
              <w:spacing w:after="0"/>
              <w:rPr>
                <w:sz w:val="20"/>
                <w:szCs w:val="20"/>
                <w:color w:val="auto"/>
              </w:rPr>
            </w:pPr>
            <w:r>
              <w:rPr>
                <w:rFonts w:ascii="Arial" w:cs="Arial" w:eastAsia="Arial" w:hAnsi="Arial"/>
                <w:sz w:val="18"/>
                <w:szCs w:val="18"/>
                <w:color w:val="auto"/>
                <w:w w:val="99"/>
              </w:rPr>
              <w:t>0% - 220%</w:t>
            </w:r>
          </w:p>
        </w:tc>
        <w:tc>
          <w:tcPr>
            <w:tcW w:w="0" w:type="dxa"/>
            <w:vAlign w:val="bottom"/>
          </w:tcPr>
          <w:p>
            <w:pPr>
              <w:spacing w:after="0"/>
              <w:rPr>
                <w:sz w:val="1"/>
                <w:szCs w:val="1"/>
                <w:color w:val="auto"/>
              </w:rPr>
            </w:pPr>
          </w:p>
        </w:tc>
      </w:tr>
      <w:tr>
        <w:trPr>
          <w:trHeight w:val="23"/>
        </w:trPr>
        <w:tc>
          <w:tcPr>
            <w:tcW w:w="4420" w:type="dxa"/>
            <w:vAlign w:val="bottom"/>
            <w:tcBorders>
              <w:bottom w:val="single" w:sz="8" w:color="2D53A6"/>
              <w:right w:val="single" w:sz="8" w:color="2D53A6"/>
            </w:tcBorders>
          </w:tcPr>
          <w:p>
            <w:pPr>
              <w:spacing w:after="0"/>
              <w:rPr>
                <w:sz w:val="2"/>
                <w:szCs w:val="2"/>
                <w:color w:val="auto"/>
              </w:rPr>
            </w:pPr>
          </w:p>
        </w:tc>
        <w:tc>
          <w:tcPr>
            <w:tcW w:w="3460" w:type="dxa"/>
            <w:vAlign w:val="bottom"/>
            <w:tcBorders>
              <w:bottom w:val="single" w:sz="8" w:color="2D53A6"/>
              <w:right w:val="single" w:sz="8" w:color="2D53A6"/>
            </w:tcBorders>
          </w:tcPr>
          <w:p>
            <w:pPr>
              <w:spacing w:after="0"/>
              <w:rPr>
                <w:sz w:val="2"/>
                <w:szCs w:val="2"/>
                <w:color w:val="auto"/>
              </w:rPr>
            </w:pPr>
          </w:p>
        </w:tc>
        <w:tc>
          <w:tcPr>
            <w:tcW w:w="336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42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Jeffrey D. Jones</w:t>
            </w:r>
          </w:p>
        </w:tc>
        <w:tc>
          <w:tcPr>
            <w:tcW w:w="346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75%</w:t>
            </w:r>
          </w:p>
        </w:tc>
        <w:tc>
          <w:tcPr>
            <w:tcW w:w="33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0% - 150%</w:t>
            </w:r>
          </w:p>
        </w:tc>
        <w:tc>
          <w:tcPr>
            <w:tcW w:w="0" w:type="dxa"/>
            <w:vAlign w:val="bottom"/>
          </w:tcPr>
          <w:p>
            <w:pPr>
              <w:spacing w:after="0"/>
              <w:rPr>
                <w:sz w:val="1"/>
                <w:szCs w:val="1"/>
                <w:color w:val="auto"/>
              </w:rPr>
            </w:pPr>
          </w:p>
        </w:tc>
      </w:tr>
      <w:tr>
        <w:trPr>
          <w:trHeight w:val="254"/>
        </w:trPr>
        <w:tc>
          <w:tcPr>
            <w:tcW w:w="442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Christopher G. Bohrson</w:t>
            </w:r>
          </w:p>
        </w:tc>
        <w:tc>
          <w:tcPr>
            <w:tcW w:w="346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75%</w:t>
            </w:r>
          </w:p>
        </w:tc>
        <w:tc>
          <w:tcPr>
            <w:tcW w:w="33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9"/>
              </w:rPr>
              <w:t>0% - 150%</w:t>
            </w:r>
          </w:p>
        </w:tc>
        <w:tc>
          <w:tcPr>
            <w:tcW w:w="0" w:type="dxa"/>
            <w:vAlign w:val="bottom"/>
          </w:tcPr>
          <w:p>
            <w:pPr>
              <w:spacing w:after="0"/>
              <w:rPr>
                <w:sz w:val="1"/>
                <w:szCs w:val="1"/>
                <w:color w:val="auto"/>
              </w:rPr>
            </w:pPr>
          </w:p>
        </w:tc>
      </w:tr>
      <w:tr>
        <w:trPr>
          <w:trHeight w:val="23"/>
        </w:trPr>
        <w:tc>
          <w:tcPr>
            <w:tcW w:w="4420" w:type="dxa"/>
            <w:vAlign w:val="bottom"/>
            <w:tcBorders>
              <w:bottom w:val="single" w:sz="8" w:color="2D53A6"/>
              <w:right w:val="single" w:sz="8" w:color="2D53A6"/>
            </w:tcBorders>
          </w:tcPr>
          <w:p>
            <w:pPr>
              <w:spacing w:after="0"/>
              <w:rPr>
                <w:sz w:val="2"/>
                <w:szCs w:val="2"/>
                <w:color w:val="auto"/>
              </w:rPr>
            </w:pPr>
          </w:p>
        </w:tc>
        <w:tc>
          <w:tcPr>
            <w:tcW w:w="3460" w:type="dxa"/>
            <w:vAlign w:val="bottom"/>
            <w:tcBorders>
              <w:bottom w:val="single" w:sz="8" w:color="2D53A6"/>
              <w:right w:val="single" w:sz="8" w:color="2D53A6"/>
            </w:tcBorders>
          </w:tcPr>
          <w:p>
            <w:pPr>
              <w:spacing w:after="0"/>
              <w:rPr>
                <w:sz w:val="2"/>
                <w:szCs w:val="2"/>
                <w:color w:val="auto"/>
              </w:rPr>
            </w:pPr>
          </w:p>
        </w:tc>
        <w:tc>
          <w:tcPr>
            <w:tcW w:w="336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Thomas D. Kampfer</w:t>
            </w:r>
          </w:p>
        </w:tc>
        <w:tc>
          <w:tcPr>
            <w:tcW w:w="346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50%</w:t>
            </w:r>
          </w:p>
        </w:tc>
        <w:tc>
          <w:tcPr>
            <w:tcW w:w="33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0% - 100%</w:t>
            </w:r>
          </w:p>
        </w:tc>
        <w:tc>
          <w:tcPr>
            <w:tcW w:w="0" w:type="dxa"/>
            <w:vAlign w:val="bottom"/>
          </w:tcPr>
          <w:p>
            <w:pPr>
              <w:spacing w:after="0"/>
              <w:rPr>
                <w:sz w:val="1"/>
                <w:szCs w:val="1"/>
                <w:color w:val="auto"/>
              </w:rPr>
            </w:pPr>
          </w:p>
        </w:tc>
      </w:tr>
      <w:tr>
        <w:trPr>
          <w:trHeight w:val="20"/>
        </w:trPr>
        <w:tc>
          <w:tcPr>
            <w:tcW w:w="4420" w:type="dxa"/>
            <w:vAlign w:val="bottom"/>
            <w:tcBorders>
              <w:right w:val="single" w:sz="8" w:color="2D53A6"/>
            </w:tcBorders>
            <w:shd w:val="clear" w:color="auto" w:fill="2D53A6"/>
          </w:tcPr>
          <w:p>
            <w:pPr>
              <w:spacing w:after="0" w:line="20" w:lineRule="exact"/>
              <w:rPr>
                <w:sz w:val="1"/>
                <w:szCs w:val="1"/>
                <w:color w:val="auto"/>
              </w:rPr>
            </w:pPr>
          </w:p>
        </w:tc>
        <w:tc>
          <w:tcPr>
            <w:tcW w:w="3460" w:type="dxa"/>
            <w:vAlign w:val="bottom"/>
            <w:tcBorders>
              <w:right w:val="single" w:sz="8" w:color="2D53A6"/>
            </w:tcBorders>
            <w:shd w:val="clear" w:color="auto" w:fill="2D53A6"/>
          </w:tcPr>
          <w:p>
            <w:pPr>
              <w:spacing w:after="0" w:line="20" w:lineRule="exact"/>
              <w:rPr>
                <w:sz w:val="1"/>
                <w:szCs w:val="1"/>
                <w:color w:val="auto"/>
              </w:rPr>
            </w:pPr>
          </w:p>
        </w:tc>
        <w:tc>
          <w:tcPr>
            <w:tcW w:w="3360" w:type="dxa"/>
            <w:vAlign w:val="bottom"/>
            <w:shd w:val="clear" w:color="auto" w:fill="2D53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Measures</w:t>
      </w:r>
    </w:p>
    <w:p>
      <w:pPr>
        <w:spacing w:after="0" w:line="198"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For purposes of the 2024 STI, the Compensation Committee selected two financial performance measures for our executive officers which were unchanged from 2023:</w:t>
      </w:r>
    </w:p>
    <w:p>
      <w:pPr>
        <w:spacing w:after="0" w:line="14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growth based on a four-year rolling sales growth target; and</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Profitability based on a non-GAAP pre-tax income target.</w:t>
      </w:r>
    </w:p>
    <w:p>
      <w:pPr>
        <w:spacing w:after="0" w:line="18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The Compensation Committee selected these two performance measures because we continue to believe sales growth reflects the overall market acceptance of our products and non-GAAP pre-tax income reflects how effectively the business was managed during the year. A reconciliation of GAAP to non-GAAP pre-tax income used for the 2024 STI is included as </w:t>
      </w:r>
      <w:r>
        <w:rPr>
          <w:rFonts w:ascii="Arial" w:cs="Arial" w:eastAsia="Arial" w:hAnsi="Arial"/>
          <w:sz w:val="18"/>
          <w:szCs w:val="18"/>
          <w:b w:val="1"/>
          <w:bCs w:val="1"/>
          <w:color w:val="auto"/>
        </w:rPr>
        <w:t>Appendix A</w:t>
      </w:r>
      <w:r>
        <w:rPr>
          <w:rFonts w:ascii="Arial" w:cs="Arial" w:eastAsia="Arial" w:hAnsi="Arial"/>
          <w:sz w:val="18"/>
          <w:szCs w:val="18"/>
          <w:color w:val="auto"/>
        </w:rPr>
        <w:t xml:space="preserve"> to this proxy statement.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weighting of these corporate performance measures for purposes of the 2024 STI for each NEO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4420" w:type="dxa"/>
            <w:vAlign w:val="bottom"/>
            <w:tcBorders>
              <w:right w:val="single" w:sz="8" w:color="2D53A6"/>
            </w:tcBorders>
            <w:shd w:val="clear" w:color="auto" w:fill="2D53A6"/>
          </w:tcPr>
          <w:p>
            <w:pPr>
              <w:ind w:left="40"/>
              <w:spacing w:after="0"/>
              <w:rPr>
                <w:sz w:val="20"/>
                <w:szCs w:val="20"/>
                <w:color w:val="auto"/>
              </w:rPr>
            </w:pPr>
            <w:r>
              <w:rPr>
                <w:rFonts w:ascii="Arial" w:cs="Arial" w:eastAsia="Arial" w:hAnsi="Arial"/>
                <w:sz w:val="20"/>
                <w:szCs w:val="20"/>
                <w:b w:val="1"/>
                <w:bCs w:val="1"/>
                <w:color w:val="FFFFFF"/>
              </w:rPr>
              <w:t>Named Executive Officer</w:t>
            </w:r>
          </w:p>
        </w:tc>
        <w:tc>
          <w:tcPr>
            <w:tcW w:w="3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20"/>
                <w:szCs w:val="20"/>
                <w:b w:val="1"/>
                <w:bCs w:val="1"/>
                <w:color w:val="FFFFFF"/>
                <w:w w:val="98"/>
              </w:rPr>
              <w:t>Sales Growth</w:t>
            </w:r>
          </w:p>
        </w:tc>
        <w:tc>
          <w:tcPr>
            <w:tcW w:w="3360" w:type="dxa"/>
            <w:vAlign w:val="bottom"/>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Non-GAAP Pre-tax Income</w:t>
            </w:r>
          </w:p>
        </w:tc>
      </w:tr>
      <w:tr>
        <w:trPr>
          <w:trHeight w:val="260"/>
        </w:trPr>
        <w:tc>
          <w:tcPr>
            <w:tcW w:w="442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Luis A. Müller</w:t>
            </w:r>
          </w:p>
        </w:tc>
        <w:tc>
          <w:tcPr>
            <w:tcW w:w="34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9"/>
              </w:rPr>
              <w:t>30%</w:t>
            </w:r>
          </w:p>
        </w:tc>
        <w:tc>
          <w:tcPr>
            <w:tcW w:w="3360" w:type="dxa"/>
            <w:vAlign w:val="bottom"/>
          </w:tcPr>
          <w:p>
            <w:pPr>
              <w:jc w:val="center"/>
              <w:spacing w:after="0"/>
              <w:rPr>
                <w:sz w:val="20"/>
                <w:szCs w:val="20"/>
                <w:color w:val="auto"/>
              </w:rPr>
            </w:pPr>
            <w:r>
              <w:rPr>
                <w:rFonts w:ascii="Arial" w:cs="Arial" w:eastAsia="Arial" w:hAnsi="Arial"/>
                <w:sz w:val="18"/>
                <w:szCs w:val="18"/>
                <w:color w:val="auto"/>
                <w:w w:val="99"/>
              </w:rPr>
              <w:t>70%</w:t>
            </w:r>
          </w:p>
        </w:tc>
      </w:tr>
      <w:tr>
        <w:trPr>
          <w:trHeight w:val="23"/>
        </w:trPr>
        <w:tc>
          <w:tcPr>
            <w:tcW w:w="4420" w:type="dxa"/>
            <w:vAlign w:val="bottom"/>
            <w:tcBorders>
              <w:bottom w:val="single" w:sz="8" w:color="2D53A6"/>
              <w:right w:val="single" w:sz="8" w:color="2D53A6"/>
            </w:tcBorders>
          </w:tcPr>
          <w:p>
            <w:pPr>
              <w:spacing w:after="0"/>
              <w:rPr>
                <w:sz w:val="2"/>
                <w:szCs w:val="2"/>
                <w:color w:val="auto"/>
              </w:rPr>
            </w:pPr>
          </w:p>
        </w:tc>
        <w:tc>
          <w:tcPr>
            <w:tcW w:w="3460" w:type="dxa"/>
            <w:vAlign w:val="bottom"/>
            <w:tcBorders>
              <w:bottom w:val="single" w:sz="8" w:color="2D53A6"/>
              <w:right w:val="single" w:sz="8" w:color="2D53A6"/>
            </w:tcBorders>
          </w:tcPr>
          <w:p>
            <w:pPr>
              <w:spacing w:after="0"/>
              <w:rPr>
                <w:sz w:val="2"/>
                <w:szCs w:val="2"/>
                <w:color w:val="auto"/>
              </w:rPr>
            </w:pPr>
          </w:p>
        </w:tc>
        <w:tc>
          <w:tcPr>
            <w:tcW w:w="3360" w:type="dxa"/>
            <w:vAlign w:val="bottom"/>
            <w:tcBorders>
              <w:bottom w:val="single" w:sz="8" w:color="2D53A6"/>
            </w:tcBorders>
          </w:tcPr>
          <w:p>
            <w:pPr>
              <w:spacing w:after="0"/>
              <w:rPr>
                <w:sz w:val="2"/>
                <w:szCs w:val="2"/>
                <w:color w:val="auto"/>
              </w:rPr>
            </w:pPr>
          </w:p>
        </w:tc>
      </w:tr>
      <w:tr>
        <w:trPr>
          <w:trHeight w:val="282"/>
        </w:trPr>
        <w:tc>
          <w:tcPr>
            <w:tcW w:w="442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Jeffrey D. Jones</w:t>
            </w:r>
          </w:p>
        </w:tc>
        <w:tc>
          <w:tcPr>
            <w:tcW w:w="346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30%</w:t>
            </w:r>
          </w:p>
        </w:tc>
        <w:tc>
          <w:tcPr>
            <w:tcW w:w="33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70%</w:t>
            </w:r>
          </w:p>
        </w:tc>
      </w:tr>
      <w:tr>
        <w:trPr>
          <w:trHeight w:val="254"/>
        </w:trPr>
        <w:tc>
          <w:tcPr>
            <w:tcW w:w="442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Christopher G. Bohrson</w:t>
            </w:r>
          </w:p>
        </w:tc>
        <w:tc>
          <w:tcPr>
            <w:tcW w:w="346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30%</w:t>
            </w:r>
          </w:p>
        </w:tc>
        <w:tc>
          <w:tcPr>
            <w:tcW w:w="336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9"/>
              </w:rPr>
              <w:t>70%</w:t>
            </w:r>
          </w:p>
        </w:tc>
      </w:tr>
      <w:tr>
        <w:trPr>
          <w:trHeight w:val="23"/>
        </w:trPr>
        <w:tc>
          <w:tcPr>
            <w:tcW w:w="4420" w:type="dxa"/>
            <w:vAlign w:val="bottom"/>
            <w:tcBorders>
              <w:bottom w:val="single" w:sz="8" w:color="2D53A6"/>
              <w:right w:val="single" w:sz="8" w:color="2D53A6"/>
            </w:tcBorders>
          </w:tcPr>
          <w:p>
            <w:pPr>
              <w:spacing w:after="0"/>
              <w:rPr>
                <w:sz w:val="2"/>
                <w:szCs w:val="2"/>
                <w:color w:val="auto"/>
              </w:rPr>
            </w:pPr>
          </w:p>
        </w:tc>
        <w:tc>
          <w:tcPr>
            <w:tcW w:w="3460" w:type="dxa"/>
            <w:vAlign w:val="bottom"/>
            <w:tcBorders>
              <w:bottom w:val="single" w:sz="8" w:color="2D53A6"/>
              <w:right w:val="single" w:sz="8" w:color="2D53A6"/>
            </w:tcBorders>
          </w:tcPr>
          <w:p>
            <w:pPr>
              <w:spacing w:after="0"/>
              <w:rPr>
                <w:sz w:val="2"/>
                <w:szCs w:val="2"/>
                <w:color w:val="auto"/>
              </w:rPr>
            </w:pPr>
          </w:p>
        </w:tc>
        <w:tc>
          <w:tcPr>
            <w:tcW w:w="3360" w:type="dxa"/>
            <w:vAlign w:val="bottom"/>
            <w:tcBorders>
              <w:bottom w:val="single" w:sz="8" w:color="2D53A6"/>
            </w:tcBorders>
          </w:tcPr>
          <w:p>
            <w:pPr>
              <w:spacing w:after="0"/>
              <w:rPr>
                <w:sz w:val="2"/>
                <w:szCs w:val="2"/>
                <w:color w:val="auto"/>
              </w:rPr>
            </w:pPr>
          </w:p>
        </w:tc>
      </w:tr>
      <w:tr>
        <w:trPr>
          <w:trHeight w:val="257"/>
        </w:trPr>
        <w:tc>
          <w:tcPr>
            <w:tcW w:w="442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Thomas D. Kampfer</w:t>
            </w:r>
          </w:p>
        </w:tc>
        <w:tc>
          <w:tcPr>
            <w:tcW w:w="346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30%</w:t>
            </w:r>
          </w:p>
        </w:tc>
        <w:tc>
          <w:tcPr>
            <w:tcW w:w="33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70%</w:t>
            </w:r>
          </w:p>
        </w:tc>
      </w:tr>
      <w:tr>
        <w:trPr>
          <w:trHeight w:val="20"/>
        </w:trPr>
        <w:tc>
          <w:tcPr>
            <w:tcW w:w="4420" w:type="dxa"/>
            <w:vAlign w:val="bottom"/>
            <w:tcBorders>
              <w:right w:val="single" w:sz="8" w:color="2D53A6"/>
            </w:tcBorders>
            <w:shd w:val="clear" w:color="auto" w:fill="2D53A6"/>
          </w:tcPr>
          <w:p>
            <w:pPr>
              <w:spacing w:after="0" w:line="20" w:lineRule="exact"/>
              <w:rPr>
                <w:sz w:val="1"/>
                <w:szCs w:val="1"/>
                <w:color w:val="auto"/>
              </w:rPr>
            </w:pPr>
          </w:p>
        </w:tc>
        <w:tc>
          <w:tcPr>
            <w:tcW w:w="3460" w:type="dxa"/>
            <w:vAlign w:val="bottom"/>
            <w:tcBorders>
              <w:right w:val="single" w:sz="8" w:color="2D53A6"/>
            </w:tcBorders>
            <w:shd w:val="clear" w:color="auto" w:fill="2D53A6"/>
          </w:tcPr>
          <w:p>
            <w:pPr>
              <w:spacing w:after="0" w:line="20" w:lineRule="exact"/>
              <w:rPr>
                <w:sz w:val="1"/>
                <w:szCs w:val="1"/>
                <w:color w:val="auto"/>
              </w:rPr>
            </w:pPr>
          </w:p>
        </w:tc>
        <w:tc>
          <w:tcPr>
            <w:tcW w:w="3360" w:type="dxa"/>
            <w:vAlign w:val="bottom"/>
            <w:shd w:val="clear" w:color="auto" w:fill="2D53A6"/>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For the 2024 STI plan, the Compensation Committee determined to keep the Sales Growth metric weighting at 30% to continue to incentivize the delivery of sales growth during an extended soft market and to keep the profitability weighting at 70%.</w:t>
      </w:r>
    </w:p>
    <w:p>
      <w:pPr>
        <w:spacing w:after="0" w:line="140"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performance measures and their respective weightings were aligned among the executive officers to reflect their shared responsibilities for delivering the targeted performance. The Compensation Committee determined that using our consolidated results for sales and non-GAAP pre-tax income were appropriate for all executive officers given their responsibilities for the overall success of our business. Applicable threshold, target and maximum performance goals as a percentage of attainment of the applicable performance measure as well as the payout levels earned were unchanged from 2023.</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FFFFFF"/>
        </w:rPr>
        <w:t>2024 STI Performance Measure Targets and Achievement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500" w:type="dxa"/>
            <w:vAlign w:val="bottom"/>
            <w:tcBorders>
              <w:bottom w:val="single" w:sz="8" w:color="2D53A6"/>
              <w:right w:val="single" w:sz="8" w:color="2D53A6"/>
            </w:tcBorders>
          </w:tcPr>
          <w:p>
            <w:pPr>
              <w:spacing w:after="0"/>
              <w:rPr>
                <w:sz w:val="22"/>
                <w:szCs w:val="22"/>
                <w:color w:val="auto"/>
              </w:rPr>
            </w:pPr>
          </w:p>
        </w:tc>
        <w:tc>
          <w:tcPr>
            <w:tcW w:w="19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b w:val="1"/>
                <w:bCs w:val="1"/>
                <w:color w:val="auto"/>
                <w:w w:val="98"/>
              </w:rPr>
              <w:t>Threshold</w:t>
            </w:r>
          </w:p>
        </w:tc>
        <w:tc>
          <w:tcPr>
            <w:tcW w:w="1940" w:type="dxa"/>
            <w:vAlign w:val="bottom"/>
            <w:tcBorders>
              <w:bottom w:val="single" w:sz="8" w:color="2D53A6"/>
              <w:right w:val="single" w:sz="8" w:color="2D53A6"/>
            </w:tcBorders>
          </w:tcPr>
          <w:p>
            <w:pPr>
              <w:ind w:left="700"/>
              <w:spacing w:after="0"/>
              <w:rPr>
                <w:sz w:val="20"/>
                <w:szCs w:val="20"/>
                <w:color w:val="auto"/>
              </w:rPr>
            </w:pPr>
            <w:r>
              <w:rPr>
                <w:rFonts w:ascii="Arial" w:cs="Arial" w:eastAsia="Arial" w:hAnsi="Arial"/>
                <w:sz w:val="18"/>
                <w:szCs w:val="18"/>
                <w:b w:val="1"/>
                <w:bCs w:val="1"/>
                <w:color w:val="auto"/>
              </w:rPr>
              <w:t>Target</w:t>
            </w:r>
          </w:p>
        </w:tc>
        <w:tc>
          <w:tcPr>
            <w:tcW w:w="1840" w:type="dxa"/>
            <w:vAlign w:val="bottom"/>
            <w:tcBorders>
              <w:bottom w:val="single" w:sz="8" w:color="2D53A6"/>
            </w:tcBorders>
          </w:tcPr>
          <w:p>
            <w:pPr>
              <w:ind w:left="500"/>
              <w:spacing w:after="0"/>
              <w:rPr>
                <w:sz w:val="20"/>
                <w:szCs w:val="20"/>
                <w:color w:val="auto"/>
              </w:rPr>
            </w:pPr>
            <w:r>
              <w:rPr>
                <w:rFonts w:ascii="Arial" w:cs="Arial" w:eastAsia="Arial" w:hAnsi="Arial"/>
                <w:sz w:val="18"/>
                <w:szCs w:val="18"/>
                <w:b w:val="1"/>
                <w:bCs w:val="1"/>
                <w:color w:val="auto"/>
              </w:rPr>
              <w:t>Maximum</w:t>
            </w:r>
          </w:p>
        </w:tc>
      </w:tr>
      <w:tr>
        <w:trPr>
          <w:trHeight w:val="271"/>
        </w:trPr>
        <w:tc>
          <w:tcPr>
            <w:tcW w:w="5500" w:type="dxa"/>
            <w:vAlign w:val="bottom"/>
            <w:tcBorders>
              <w:bottom w:val="single" w:sz="8" w:color="2D53A6"/>
              <w:right w:val="single" w:sz="8" w:color="2D53A6"/>
            </w:tcBorders>
          </w:tcPr>
          <w:p>
            <w:pPr>
              <w:ind w:left="40"/>
              <w:spacing w:after="0"/>
              <w:rPr>
                <w:sz w:val="20"/>
                <w:szCs w:val="20"/>
                <w:color w:val="auto"/>
              </w:rPr>
            </w:pPr>
            <w:r>
              <w:rPr>
                <w:rFonts w:ascii="Arial" w:cs="Arial" w:eastAsia="Arial" w:hAnsi="Arial"/>
                <w:sz w:val="18"/>
                <w:szCs w:val="18"/>
                <w:b w:val="1"/>
                <w:bCs w:val="1"/>
                <w:color w:val="auto"/>
              </w:rPr>
              <w:t>Performance to 4-Year Rolling Sales Growth</w:t>
            </w:r>
          </w:p>
        </w:tc>
        <w:tc>
          <w:tcPr>
            <w:tcW w:w="1960" w:type="dxa"/>
            <w:vAlign w:val="bottom"/>
            <w:tcBorders>
              <w:bottom w:val="single" w:sz="8" w:color="2D53A6"/>
              <w:right w:val="single" w:sz="8" w:color="2D53A6"/>
            </w:tcBorders>
          </w:tcPr>
          <w:p>
            <w:pPr>
              <w:jc w:val="right"/>
              <w:ind w:right="770"/>
              <w:spacing w:after="0"/>
              <w:rPr>
                <w:sz w:val="20"/>
                <w:szCs w:val="20"/>
                <w:color w:val="auto"/>
              </w:rPr>
            </w:pPr>
            <w:r>
              <w:rPr>
                <w:rFonts w:ascii="Arial" w:cs="Arial" w:eastAsia="Arial" w:hAnsi="Arial"/>
                <w:sz w:val="18"/>
                <w:szCs w:val="18"/>
                <w:b w:val="1"/>
                <w:bCs w:val="1"/>
                <w:color w:val="auto"/>
              </w:rPr>
              <w:t>0%</w:t>
            </w:r>
          </w:p>
        </w:tc>
        <w:tc>
          <w:tcPr>
            <w:tcW w:w="19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18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b w:val="1"/>
                <w:bCs w:val="1"/>
                <w:color w:val="auto"/>
              </w:rPr>
              <w:t>&gt; 10%</w:t>
            </w:r>
          </w:p>
        </w:tc>
      </w:tr>
      <w:tr>
        <w:trPr>
          <w:trHeight w:val="288"/>
        </w:trPr>
        <w:tc>
          <w:tcPr>
            <w:tcW w:w="55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Payout Level Earned</w:t>
            </w:r>
          </w:p>
        </w:tc>
        <w:tc>
          <w:tcPr>
            <w:tcW w:w="196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7"/>
              </w:rPr>
              <w:t>None</w:t>
            </w:r>
          </w:p>
        </w:tc>
        <w:tc>
          <w:tcPr>
            <w:tcW w:w="194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100%</w:t>
            </w:r>
          </w:p>
        </w:tc>
        <w:tc>
          <w:tcPr>
            <w:tcW w:w="18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200%</w:t>
            </w:r>
          </w:p>
        </w:tc>
      </w:tr>
      <w:tr>
        <w:trPr>
          <w:trHeight w:val="270"/>
        </w:trPr>
        <w:tc>
          <w:tcPr>
            <w:tcW w:w="5500" w:type="dxa"/>
            <w:vAlign w:val="bottom"/>
            <w:tcBorders>
              <w:top w:val="single" w:sz="8" w:color="2D53A6"/>
              <w:bottom w:val="single" w:sz="8" w:color="2D53A6"/>
              <w:right w:val="single" w:sz="8" w:color="2D53A6"/>
            </w:tcBorders>
          </w:tcPr>
          <w:p>
            <w:pPr>
              <w:ind w:left="40"/>
              <w:spacing w:after="0"/>
              <w:rPr>
                <w:sz w:val="20"/>
                <w:szCs w:val="20"/>
                <w:color w:val="auto"/>
              </w:rPr>
            </w:pPr>
            <w:r>
              <w:rPr>
                <w:rFonts w:ascii="Arial" w:cs="Arial" w:eastAsia="Arial" w:hAnsi="Arial"/>
                <w:sz w:val="18"/>
                <w:szCs w:val="18"/>
                <w:b w:val="1"/>
                <w:bCs w:val="1"/>
                <w:color w:val="auto"/>
              </w:rPr>
              <w:t>Performance to Non-GAAP Pre-tax Income</w:t>
            </w:r>
          </w:p>
        </w:tc>
        <w:tc>
          <w:tcPr>
            <w:tcW w:w="1960" w:type="dxa"/>
            <w:vAlign w:val="bottom"/>
            <w:tcBorders>
              <w:top w:val="single" w:sz="8" w:color="2D53A6"/>
              <w:bottom w:val="single" w:sz="8" w:color="2D53A6"/>
              <w:right w:val="single" w:sz="8" w:color="2D53A6"/>
            </w:tcBorders>
          </w:tcPr>
          <w:p>
            <w:pPr>
              <w:jc w:val="right"/>
              <w:ind w:right="690"/>
              <w:spacing w:after="0"/>
              <w:rPr>
                <w:sz w:val="20"/>
                <w:szCs w:val="20"/>
                <w:color w:val="auto"/>
              </w:rPr>
            </w:pPr>
            <w:r>
              <w:rPr>
                <w:rFonts w:ascii="Arial" w:cs="Arial" w:eastAsia="Arial" w:hAnsi="Arial"/>
                <w:sz w:val="18"/>
                <w:szCs w:val="18"/>
                <w:b w:val="1"/>
                <w:bCs w:val="1"/>
                <w:color w:val="auto"/>
              </w:rPr>
              <w:t>&lt; 5%</w:t>
            </w:r>
          </w:p>
        </w:tc>
        <w:tc>
          <w:tcPr>
            <w:tcW w:w="1940" w:type="dxa"/>
            <w:vAlign w:val="bottom"/>
            <w:tcBorders>
              <w:top w:val="single" w:sz="8" w:color="2D53A6"/>
              <w:bottom w:val="single" w:sz="8" w:color="2D53A6"/>
              <w:right w:val="single" w:sz="8" w:color="2D53A6"/>
            </w:tcBorders>
          </w:tcPr>
          <w:p>
            <w:pPr>
              <w:jc w:val="center"/>
              <w:spacing w:after="0"/>
              <w:rPr>
                <w:sz w:val="20"/>
                <w:szCs w:val="20"/>
                <w:color w:val="auto"/>
              </w:rPr>
            </w:pPr>
            <w:r>
              <w:rPr>
                <w:rFonts w:ascii="Arial" w:cs="Arial" w:eastAsia="Arial" w:hAnsi="Arial"/>
                <w:sz w:val="18"/>
                <w:szCs w:val="18"/>
                <w:b w:val="1"/>
                <w:bCs w:val="1"/>
                <w:color w:val="auto"/>
                <w:w w:val="99"/>
              </w:rPr>
              <w:t>15%</w:t>
            </w:r>
          </w:p>
        </w:tc>
        <w:tc>
          <w:tcPr>
            <w:tcW w:w="1840" w:type="dxa"/>
            <w:vAlign w:val="bottom"/>
            <w:tcBorders>
              <w:top w:val="single" w:sz="8" w:color="2D53A6"/>
              <w:bottom w:val="single" w:sz="8" w:color="2D53A6"/>
            </w:tcBorders>
          </w:tcPr>
          <w:p>
            <w:pPr>
              <w:jc w:val="center"/>
              <w:spacing w:after="0"/>
              <w:rPr>
                <w:sz w:val="20"/>
                <w:szCs w:val="20"/>
                <w:color w:val="auto"/>
              </w:rPr>
            </w:pPr>
            <w:r>
              <w:rPr>
                <w:rFonts w:ascii="Arial" w:cs="Arial" w:eastAsia="Arial" w:hAnsi="Arial"/>
                <w:sz w:val="18"/>
                <w:szCs w:val="18"/>
                <w:b w:val="1"/>
                <w:bCs w:val="1"/>
                <w:color w:val="auto"/>
                <w:w w:val="99"/>
              </w:rPr>
              <w:t>&gt; 22.5%</w:t>
            </w:r>
          </w:p>
        </w:tc>
      </w:tr>
      <w:tr>
        <w:trPr>
          <w:trHeight w:val="263"/>
        </w:trPr>
        <w:tc>
          <w:tcPr>
            <w:tcW w:w="55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Payout Level Earned</w:t>
            </w:r>
          </w:p>
        </w:tc>
        <w:tc>
          <w:tcPr>
            <w:tcW w:w="196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7"/>
              </w:rPr>
              <w:t>None</w:t>
            </w:r>
          </w:p>
        </w:tc>
        <w:tc>
          <w:tcPr>
            <w:tcW w:w="194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100%</w:t>
            </w:r>
          </w:p>
        </w:tc>
        <w:tc>
          <w:tcPr>
            <w:tcW w:w="18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200%</w:t>
            </w:r>
          </w:p>
        </w:tc>
      </w:tr>
      <w:tr>
        <w:trPr>
          <w:trHeight w:val="20"/>
        </w:trPr>
        <w:tc>
          <w:tcPr>
            <w:tcW w:w="5500" w:type="dxa"/>
            <w:vAlign w:val="bottom"/>
            <w:tcBorders>
              <w:right w:val="single" w:sz="8" w:color="2D53A6"/>
            </w:tcBorders>
            <w:shd w:val="clear" w:color="auto" w:fill="2D53A6"/>
          </w:tcPr>
          <w:p>
            <w:pPr>
              <w:spacing w:after="0" w:line="20" w:lineRule="exact"/>
              <w:rPr>
                <w:sz w:val="1"/>
                <w:szCs w:val="1"/>
                <w:color w:val="auto"/>
              </w:rPr>
            </w:pPr>
          </w:p>
        </w:tc>
        <w:tc>
          <w:tcPr>
            <w:tcW w:w="1960" w:type="dxa"/>
            <w:vAlign w:val="bottom"/>
            <w:tcBorders>
              <w:right w:val="single" w:sz="8" w:color="2D53A6"/>
            </w:tcBorders>
            <w:shd w:val="clear" w:color="auto" w:fill="2D53A6"/>
          </w:tcPr>
          <w:p>
            <w:pPr>
              <w:spacing w:after="0" w:line="20" w:lineRule="exact"/>
              <w:rPr>
                <w:sz w:val="1"/>
                <w:szCs w:val="1"/>
                <w:color w:val="auto"/>
              </w:rPr>
            </w:pPr>
          </w:p>
        </w:tc>
        <w:tc>
          <w:tcPr>
            <w:tcW w:w="1940" w:type="dxa"/>
            <w:vAlign w:val="bottom"/>
            <w:tcBorders>
              <w:right w:val="single" w:sz="8" w:color="2D53A6"/>
            </w:tcBorders>
            <w:shd w:val="clear" w:color="auto" w:fill="2D53A6"/>
          </w:tcPr>
          <w:p>
            <w:pPr>
              <w:spacing w:after="0" w:line="20" w:lineRule="exact"/>
              <w:rPr>
                <w:sz w:val="1"/>
                <w:szCs w:val="1"/>
                <w:color w:val="auto"/>
              </w:rPr>
            </w:pPr>
          </w:p>
        </w:tc>
        <w:tc>
          <w:tcPr>
            <w:tcW w:w="1840" w:type="dxa"/>
            <w:vAlign w:val="bottom"/>
            <w:shd w:val="clear" w:color="auto" w:fill="2D53A6"/>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Measure Target Levels</w:t>
      </w:r>
    </w:p>
    <w:p>
      <w:pPr>
        <w:spacing w:after="0" w:line="198"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With respect to the target levels for sales, the Compensation Committee believed that, at the time, the target level for each performance measure was set, these target levels would be challenging and difficult, but achievable under normal business conditions with significant effort and skill, and strong execution. For 2024, the Compensation Committee expected that these target levels would be difficult to achieve because they would require delivery of results in uncertain market conditions (including the extended market downturn and inflationary pressure on costs), adroitly executing our business strategy, the development and acceptance by customers of new products, and successful entry into certain new markets in a highly competitive and volatile environment.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Short-Term Incentive Plan Decisions</w:t>
      </w:r>
    </w:p>
    <w:p>
      <w:pPr>
        <w:spacing w:after="0" w:line="198"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Following the end of 2024, the Compensation Committee compared our actual financial performance to the target performance levels established for the year and applied the incentive formula under the 2024 STI to our actual performance and determined there would be no payout to any of our NEOs.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actual financial performance attained and resulting payout levels for our NEOs for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974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FFFFFF"/>
        </w:rPr>
        <w:t>Actual Achievement of 2024 STI Performance Measures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000" w:type="dxa"/>
            <w:vAlign w:val="bottom"/>
            <w:tcBorders>
              <w:bottom w:val="single" w:sz="8" w:color="2D53A6"/>
            </w:tcBorders>
          </w:tcPr>
          <w:p>
            <w:pPr>
              <w:spacing w:after="0"/>
              <w:rPr>
                <w:sz w:val="24"/>
                <w:szCs w:val="24"/>
                <w:color w:val="auto"/>
              </w:rPr>
            </w:pPr>
          </w:p>
        </w:tc>
        <w:tc>
          <w:tcPr>
            <w:tcW w:w="2380" w:type="dxa"/>
            <w:vAlign w:val="bottom"/>
            <w:tcBorders>
              <w:bottom w:val="single" w:sz="8" w:color="2D53A6"/>
              <w:right w:val="single" w:sz="8" w:color="2D53A6"/>
            </w:tcBorders>
          </w:tcPr>
          <w:p>
            <w:pPr>
              <w:spacing w:after="0"/>
              <w:rPr>
                <w:sz w:val="24"/>
                <w:szCs w:val="24"/>
                <w:color w:val="auto"/>
              </w:rPr>
            </w:pPr>
          </w:p>
        </w:tc>
        <w:tc>
          <w:tcPr>
            <w:tcW w:w="15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b w:val="1"/>
                <w:bCs w:val="1"/>
                <w:color w:val="auto"/>
                <w:w w:val="97"/>
              </w:rPr>
              <w:t>Dr. M</w:t>
            </w:r>
            <w:r>
              <w:rPr>
                <w:rFonts w:ascii="Arial" w:cs="Arial" w:eastAsia="Arial" w:hAnsi="Arial"/>
                <w:sz w:val="18"/>
                <w:szCs w:val="18"/>
                <w:color w:val="auto"/>
                <w:w w:val="97"/>
              </w:rPr>
              <w:t>ü</w:t>
            </w:r>
            <w:r>
              <w:rPr>
                <w:rFonts w:ascii="Arial" w:cs="Arial" w:eastAsia="Arial" w:hAnsi="Arial"/>
                <w:sz w:val="18"/>
                <w:szCs w:val="18"/>
                <w:b w:val="1"/>
                <w:bCs w:val="1"/>
                <w:color w:val="auto"/>
                <w:w w:val="97"/>
              </w:rPr>
              <w:t>ller</w:t>
            </w:r>
          </w:p>
        </w:tc>
        <w:tc>
          <w:tcPr>
            <w:tcW w:w="15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b w:val="1"/>
                <w:bCs w:val="1"/>
                <w:color w:val="auto"/>
                <w:w w:val="97"/>
              </w:rPr>
              <w:t>Mr. Jones</w:t>
            </w:r>
          </w:p>
        </w:tc>
        <w:tc>
          <w:tcPr>
            <w:tcW w:w="14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b w:val="1"/>
                <w:bCs w:val="1"/>
                <w:color w:val="auto"/>
                <w:w w:val="99"/>
              </w:rPr>
              <w:t>Mr. Bohrson</w:t>
            </w:r>
          </w:p>
        </w:tc>
        <w:tc>
          <w:tcPr>
            <w:tcW w:w="14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b w:val="1"/>
                <w:bCs w:val="1"/>
                <w:color w:val="auto"/>
                <w:w w:val="98"/>
              </w:rPr>
              <w:t>Mr. Kampfer</w:t>
            </w:r>
          </w:p>
        </w:tc>
      </w:tr>
      <w:tr>
        <w:trPr>
          <w:trHeight w:val="260"/>
        </w:trPr>
        <w:tc>
          <w:tcPr>
            <w:tcW w:w="3000" w:type="dxa"/>
            <w:vAlign w:val="bottom"/>
          </w:tcPr>
          <w:p>
            <w:pPr>
              <w:ind w:left="40"/>
              <w:spacing w:after="0"/>
              <w:rPr>
                <w:sz w:val="20"/>
                <w:szCs w:val="20"/>
                <w:color w:val="auto"/>
              </w:rPr>
            </w:pPr>
            <w:r>
              <w:rPr>
                <w:rFonts w:ascii="Arial" w:cs="Arial" w:eastAsia="Arial" w:hAnsi="Arial"/>
                <w:sz w:val="18"/>
                <w:szCs w:val="18"/>
                <w:color w:val="auto"/>
              </w:rPr>
              <w:t xml:space="preserve">4-year Rolling Sales Growth </w:t>
            </w:r>
            <w:r>
              <w:rPr>
                <w:rFonts w:ascii="Arial" w:cs="Arial" w:eastAsia="Arial" w:hAnsi="Arial"/>
                <w:sz w:val="14"/>
                <w:szCs w:val="14"/>
                <w:color w:val="auto"/>
              </w:rPr>
              <w:t>(1)</w:t>
            </w:r>
          </w:p>
        </w:tc>
        <w:tc>
          <w:tcPr>
            <w:tcW w:w="2380" w:type="dxa"/>
            <w:vAlign w:val="bottom"/>
            <w:tcBorders>
              <w:right w:val="single" w:sz="8" w:color="2D53A6"/>
            </w:tcBorders>
          </w:tcPr>
          <w:p>
            <w:pPr>
              <w:spacing w:after="0"/>
              <w:rPr>
                <w:sz w:val="22"/>
                <w:szCs w:val="22"/>
                <w:color w:val="auto"/>
              </w:rPr>
            </w:pP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8"/>
              </w:rPr>
              <w:t>(7.9)%</w:t>
            </w: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(7.9)%</w:t>
            </w:r>
          </w:p>
        </w:tc>
        <w:tc>
          <w:tcPr>
            <w:tcW w:w="14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8"/>
              </w:rPr>
              <w:t>(7.9)%</w:t>
            </w:r>
          </w:p>
        </w:tc>
        <w:tc>
          <w:tcPr>
            <w:tcW w:w="14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8"/>
              </w:rPr>
              <w:t>(7.9)%</w:t>
            </w:r>
          </w:p>
        </w:tc>
      </w:tr>
      <w:tr>
        <w:trPr>
          <w:trHeight w:val="23"/>
        </w:trPr>
        <w:tc>
          <w:tcPr>
            <w:tcW w:w="3000" w:type="dxa"/>
            <w:vAlign w:val="bottom"/>
            <w:tcBorders>
              <w:bottom w:val="single" w:sz="8" w:color="2D53A6"/>
            </w:tcBorders>
          </w:tcPr>
          <w:p>
            <w:pPr>
              <w:spacing w:after="0"/>
              <w:rPr>
                <w:sz w:val="2"/>
                <w:szCs w:val="2"/>
                <w:color w:val="auto"/>
              </w:rPr>
            </w:pPr>
          </w:p>
        </w:tc>
        <w:tc>
          <w:tcPr>
            <w:tcW w:w="2380" w:type="dxa"/>
            <w:vAlign w:val="bottom"/>
            <w:tcBorders>
              <w:bottom w:val="single" w:sz="8" w:color="2D53A6"/>
              <w:right w:val="single" w:sz="8" w:color="2D53A6"/>
            </w:tcBorders>
          </w:tcPr>
          <w:p>
            <w:pPr>
              <w:spacing w:after="0"/>
              <w:rPr>
                <w:sz w:val="2"/>
                <w:szCs w:val="2"/>
                <w:color w:val="auto"/>
              </w:rPr>
            </w:pPr>
          </w:p>
        </w:tc>
        <w:tc>
          <w:tcPr>
            <w:tcW w:w="1500" w:type="dxa"/>
            <w:vAlign w:val="bottom"/>
            <w:tcBorders>
              <w:bottom w:val="single" w:sz="8" w:color="2D53A6"/>
              <w:right w:val="single" w:sz="8" w:color="2D53A6"/>
            </w:tcBorders>
          </w:tcPr>
          <w:p>
            <w:pPr>
              <w:spacing w:after="0"/>
              <w:rPr>
                <w:sz w:val="2"/>
                <w:szCs w:val="2"/>
                <w:color w:val="auto"/>
              </w:rPr>
            </w:pPr>
          </w:p>
        </w:tc>
        <w:tc>
          <w:tcPr>
            <w:tcW w:w="1500" w:type="dxa"/>
            <w:vAlign w:val="bottom"/>
            <w:tcBorders>
              <w:bottom w:val="single" w:sz="8" w:color="2D53A6"/>
              <w:right w:val="single" w:sz="8" w:color="2D53A6"/>
            </w:tcBorders>
          </w:tcPr>
          <w:p>
            <w:pPr>
              <w:spacing w:after="0"/>
              <w:rPr>
                <w:sz w:val="2"/>
                <w:szCs w:val="2"/>
                <w:color w:val="auto"/>
              </w:rPr>
            </w:pPr>
          </w:p>
        </w:tc>
        <w:tc>
          <w:tcPr>
            <w:tcW w:w="146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right w:val="single" w:sz="8" w:color="2D53A6"/>
            </w:tcBorders>
          </w:tcPr>
          <w:p>
            <w:pPr>
              <w:spacing w:after="0"/>
              <w:rPr>
                <w:sz w:val="2"/>
                <w:szCs w:val="2"/>
                <w:color w:val="auto"/>
              </w:rPr>
            </w:pPr>
          </w:p>
        </w:tc>
      </w:tr>
      <w:tr>
        <w:trPr>
          <w:trHeight w:val="254"/>
        </w:trPr>
        <w:tc>
          <w:tcPr>
            <w:tcW w:w="3000" w:type="dxa"/>
            <w:vAlign w:val="bottom"/>
          </w:tcPr>
          <w:p>
            <w:pPr>
              <w:ind w:left="40"/>
              <w:spacing w:after="0"/>
              <w:rPr>
                <w:sz w:val="20"/>
                <w:szCs w:val="20"/>
                <w:color w:val="auto"/>
              </w:rPr>
            </w:pPr>
            <w:r>
              <w:rPr>
                <w:rFonts w:ascii="Arial" w:cs="Arial" w:eastAsia="Arial" w:hAnsi="Arial"/>
                <w:sz w:val="18"/>
                <w:szCs w:val="18"/>
                <w:color w:val="auto"/>
              </w:rPr>
              <w:t xml:space="preserve">Goal Payout % </w:t>
            </w:r>
            <w:r>
              <w:rPr>
                <w:rFonts w:ascii="Arial" w:cs="Arial" w:eastAsia="Arial" w:hAnsi="Arial"/>
                <w:sz w:val="14"/>
                <w:szCs w:val="14"/>
                <w:color w:val="auto"/>
              </w:rPr>
              <w:t>(2)</w:t>
            </w:r>
          </w:p>
        </w:tc>
        <w:tc>
          <w:tcPr>
            <w:tcW w:w="2380" w:type="dxa"/>
            <w:vAlign w:val="bottom"/>
            <w:tcBorders>
              <w:right w:val="single" w:sz="8" w:color="2D53A6"/>
            </w:tcBorders>
          </w:tcPr>
          <w:p>
            <w:pPr>
              <w:spacing w:after="0"/>
              <w:rPr>
                <w:sz w:val="22"/>
                <w:szCs w:val="22"/>
                <w:color w:val="auto"/>
              </w:rPr>
            </w:pP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7"/>
              </w:rPr>
              <w:t>0.0%</w:t>
            </w: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0.0%</w:t>
            </w:r>
          </w:p>
        </w:tc>
        <w:tc>
          <w:tcPr>
            <w:tcW w:w="14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0.0%</w:t>
            </w:r>
          </w:p>
        </w:tc>
        <w:tc>
          <w:tcPr>
            <w:tcW w:w="14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0.0%</w:t>
            </w:r>
          </w:p>
        </w:tc>
      </w:tr>
      <w:tr>
        <w:trPr>
          <w:trHeight w:val="23"/>
        </w:trPr>
        <w:tc>
          <w:tcPr>
            <w:tcW w:w="3000" w:type="dxa"/>
            <w:vAlign w:val="bottom"/>
            <w:tcBorders>
              <w:bottom w:val="single" w:sz="8" w:color="2D53A6"/>
            </w:tcBorders>
          </w:tcPr>
          <w:p>
            <w:pPr>
              <w:spacing w:after="0"/>
              <w:rPr>
                <w:sz w:val="2"/>
                <w:szCs w:val="2"/>
                <w:color w:val="auto"/>
              </w:rPr>
            </w:pPr>
          </w:p>
        </w:tc>
        <w:tc>
          <w:tcPr>
            <w:tcW w:w="2380" w:type="dxa"/>
            <w:vAlign w:val="bottom"/>
            <w:tcBorders>
              <w:bottom w:val="single" w:sz="8" w:color="2D53A6"/>
              <w:right w:val="single" w:sz="8" w:color="2D53A6"/>
            </w:tcBorders>
          </w:tcPr>
          <w:p>
            <w:pPr>
              <w:spacing w:after="0"/>
              <w:rPr>
                <w:sz w:val="2"/>
                <w:szCs w:val="2"/>
                <w:color w:val="auto"/>
              </w:rPr>
            </w:pPr>
          </w:p>
        </w:tc>
        <w:tc>
          <w:tcPr>
            <w:tcW w:w="1500" w:type="dxa"/>
            <w:vAlign w:val="bottom"/>
            <w:tcBorders>
              <w:bottom w:val="single" w:sz="8" w:color="2D53A6"/>
              <w:right w:val="single" w:sz="8" w:color="2D53A6"/>
            </w:tcBorders>
          </w:tcPr>
          <w:p>
            <w:pPr>
              <w:spacing w:after="0"/>
              <w:rPr>
                <w:sz w:val="2"/>
                <w:szCs w:val="2"/>
                <w:color w:val="auto"/>
              </w:rPr>
            </w:pPr>
          </w:p>
        </w:tc>
        <w:tc>
          <w:tcPr>
            <w:tcW w:w="1500" w:type="dxa"/>
            <w:vAlign w:val="bottom"/>
            <w:tcBorders>
              <w:bottom w:val="single" w:sz="8" w:color="2D53A6"/>
              <w:right w:val="single" w:sz="8" w:color="2D53A6"/>
            </w:tcBorders>
          </w:tcPr>
          <w:p>
            <w:pPr>
              <w:spacing w:after="0"/>
              <w:rPr>
                <w:sz w:val="2"/>
                <w:szCs w:val="2"/>
                <w:color w:val="auto"/>
              </w:rPr>
            </w:pPr>
          </w:p>
        </w:tc>
        <w:tc>
          <w:tcPr>
            <w:tcW w:w="146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right w:val="single" w:sz="8" w:color="2D53A6"/>
            </w:tcBorders>
          </w:tcPr>
          <w:p>
            <w:pPr>
              <w:spacing w:after="0"/>
              <w:rPr>
                <w:sz w:val="2"/>
                <w:szCs w:val="2"/>
                <w:color w:val="auto"/>
              </w:rPr>
            </w:pPr>
          </w:p>
        </w:tc>
      </w:tr>
      <w:tr>
        <w:trPr>
          <w:trHeight w:val="254"/>
        </w:trPr>
        <w:tc>
          <w:tcPr>
            <w:tcW w:w="3000" w:type="dxa"/>
            <w:vAlign w:val="bottom"/>
          </w:tcPr>
          <w:p>
            <w:pPr>
              <w:ind w:left="40"/>
              <w:spacing w:after="0"/>
              <w:rPr>
                <w:sz w:val="20"/>
                <w:szCs w:val="20"/>
                <w:color w:val="auto"/>
              </w:rPr>
            </w:pPr>
            <w:r>
              <w:rPr>
                <w:rFonts w:ascii="Arial" w:cs="Arial" w:eastAsia="Arial" w:hAnsi="Arial"/>
                <w:sz w:val="18"/>
                <w:szCs w:val="18"/>
                <w:color w:val="auto"/>
              </w:rPr>
              <w:t xml:space="preserve">Non-GAAP Pre-tax Income </w:t>
            </w:r>
            <w:r>
              <w:rPr>
                <w:rFonts w:ascii="Arial" w:cs="Arial" w:eastAsia="Arial" w:hAnsi="Arial"/>
                <w:sz w:val="14"/>
                <w:szCs w:val="14"/>
                <w:color w:val="auto"/>
              </w:rPr>
              <w:t>(3)</w:t>
            </w:r>
          </w:p>
        </w:tc>
        <w:tc>
          <w:tcPr>
            <w:tcW w:w="2380" w:type="dxa"/>
            <w:vAlign w:val="bottom"/>
            <w:tcBorders>
              <w:right w:val="single" w:sz="8" w:color="2D53A6"/>
            </w:tcBorders>
          </w:tcPr>
          <w:p>
            <w:pPr>
              <w:spacing w:after="0"/>
              <w:rPr>
                <w:sz w:val="22"/>
                <w:szCs w:val="22"/>
                <w:color w:val="auto"/>
              </w:rPr>
            </w:pP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8"/>
              </w:rPr>
              <w:t>(1.0)%</w:t>
            </w: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(1.0)%</w:t>
            </w:r>
          </w:p>
        </w:tc>
        <w:tc>
          <w:tcPr>
            <w:tcW w:w="14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8"/>
              </w:rPr>
              <w:t>(1.0)%</w:t>
            </w:r>
          </w:p>
        </w:tc>
        <w:tc>
          <w:tcPr>
            <w:tcW w:w="14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8"/>
              </w:rPr>
              <w:t>(1.0)%</w:t>
            </w:r>
          </w:p>
        </w:tc>
      </w:tr>
      <w:tr>
        <w:trPr>
          <w:trHeight w:val="23"/>
        </w:trPr>
        <w:tc>
          <w:tcPr>
            <w:tcW w:w="3000" w:type="dxa"/>
            <w:vAlign w:val="bottom"/>
            <w:tcBorders>
              <w:bottom w:val="single" w:sz="8" w:color="2D53A6"/>
            </w:tcBorders>
          </w:tcPr>
          <w:p>
            <w:pPr>
              <w:spacing w:after="0"/>
              <w:rPr>
                <w:sz w:val="2"/>
                <w:szCs w:val="2"/>
                <w:color w:val="auto"/>
              </w:rPr>
            </w:pPr>
          </w:p>
        </w:tc>
        <w:tc>
          <w:tcPr>
            <w:tcW w:w="2380" w:type="dxa"/>
            <w:vAlign w:val="bottom"/>
            <w:tcBorders>
              <w:bottom w:val="single" w:sz="8" w:color="2D53A6"/>
              <w:right w:val="single" w:sz="8" w:color="2D53A6"/>
            </w:tcBorders>
          </w:tcPr>
          <w:p>
            <w:pPr>
              <w:spacing w:after="0"/>
              <w:rPr>
                <w:sz w:val="2"/>
                <w:szCs w:val="2"/>
                <w:color w:val="auto"/>
              </w:rPr>
            </w:pPr>
          </w:p>
        </w:tc>
        <w:tc>
          <w:tcPr>
            <w:tcW w:w="1500" w:type="dxa"/>
            <w:vAlign w:val="bottom"/>
            <w:tcBorders>
              <w:bottom w:val="single" w:sz="8" w:color="2D53A6"/>
              <w:right w:val="single" w:sz="8" w:color="2D53A6"/>
            </w:tcBorders>
          </w:tcPr>
          <w:p>
            <w:pPr>
              <w:spacing w:after="0"/>
              <w:rPr>
                <w:sz w:val="2"/>
                <w:szCs w:val="2"/>
                <w:color w:val="auto"/>
              </w:rPr>
            </w:pPr>
          </w:p>
        </w:tc>
        <w:tc>
          <w:tcPr>
            <w:tcW w:w="1500" w:type="dxa"/>
            <w:vAlign w:val="bottom"/>
            <w:tcBorders>
              <w:bottom w:val="single" w:sz="8" w:color="2D53A6"/>
              <w:right w:val="single" w:sz="8" w:color="2D53A6"/>
            </w:tcBorders>
          </w:tcPr>
          <w:p>
            <w:pPr>
              <w:spacing w:after="0"/>
              <w:rPr>
                <w:sz w:val="2"/>
                <w:szCs w:val="2"/>
                <w:color w:val="auto"/>
              </w:rPr>
            </w:pPr>
          </w:p>
        </w:tc>
        <w:tc>
          <w:tcPr>
            <w:tcW w:w="146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right w:val="single" w:sz="8" w:color="2D53A6"/>
            </w:tcBorders>
          </w:tcPr>
          <w:p>
            <w:pPr>
              <w:spacing w:after="0"/>
              <w:rPr>
                <w:sz w:val="2"/>
                <w:szCs w:val="2"/>
                <w:color w:val="auto"/>
              </w:rPr>
            </w:pPr>
          </w:p>
        </w:tc>
      </w:tr>
      <w:tr>
        <w:trPr>
          <w:trHeight w:val="254"/>
        </w:trPr>
        <w:tc>
          <w:tcPr>
            <w:tcW w:w="3000" w:type="dxa"/>
            <w:vAlign w:val="bottom"/>
          </w:tcPr>
          <w:p>
            <w:pPr>
              <w:ind w:left="40"/>
              <w:spacing w:after="0"/>
              <w:rPr>
                <w:sz w:val="20"/>
                <w:szCs w:val="20"/>
                <w:color w:val="auto"/>
              </w:rPr>
            </w:pPr>
            <w:r>
              <w:rPr>
                <w:rFonts w:ascii="Arial" w:cs="Arial" w:eastAsia="Arial" w:hAnsi="Arial"/>
                <w:sz w:val="18"/>
                <w:szCs w:val="18"/>
                <w:color w:val="auto"/>
              </w:rPr>
              <w:t xml:space="preserve">Goal Payout % </w:t>
            </w:r>
            <w:r>
              <w:rPr>
                <w:rFonts w:ascii="Arial" w:cs="Arial" w:eastAsia="Arial" w:hAnsi="Arial"/>
                <w:sz w:val="14"/>
                <w:szCs w:val="14"/>
                <w:color w:val="auto"/>
              </w:rPr>
              <w:t>(3)</w:t>
            </w:r>
          </w:p>
        </w:tc>
        <w:tc>
          <w:tcPr>
            <w:tcW w:w="2380" w:type="dxa"/>
            <w:vAlign w:val="bottom"/>
            <w:tcBorders>
              <w:right w:val="single" w:sz="8" w:color="2D53A6"/>
            </w:tcBorders>
          </w:tcPr>
          <w:p>
            <w:pPr>
              <w:spacing w:after="0"/>
              <w:rPr>
                <w:sz w:val="22"/>
                <w:szCs w:val="22"/>
                <w:color w:val="auto"/>
              </w:rPr>
            </w:pP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7"/>
              </w:rPr>
              <w:t>0.0%</w:t>
            </w: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0.0%</w:t>
            </w:r>
          </w:p>
        </w:tc>
        <w:tc>
          <w:tcPr>
            <w:tcW w:w="14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0.0%</w:t>
            </w:r>
          </w:p>
        </w:tc>
        <w:tc>
          <w:tcPr>
            <w:tcW w:w="14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0.0%</w:t>
            </w:r>
          </w:p>
        </w:tc>
      </w:tr>
      <w:tr>
        <w:trPr>
          <w:trHeight w:val="23"/>
        </w:trPr>
        <w:tc>
          <w:tcPr>
            <w:tcW w:w="3000" w:type="dxa"/>
            <w:vAlign w:val="bottom"/>
            <w:tcBorders>
              <w:bottom w:val="single" w:sz="8" w:color="2D53A6"/>
            </w:tcBorders>
          </w:tcPr>
          <w:p>
            <w:pPr>
              <w:spacing w:after="0"/>
              <w:rPr>
                <w:sz w:val="2"/>
                <w:szCs w:val="2"/>
                <w:color w:val="auto"/>
              </w:rPr>
            </w:pPr>
          </w:p>
        </w:tc>
        <w:tc>
          <w:tcPr>
            <w:tcW w:w="2380" w:type="dxa"/>
            <w:vAlign w:val="bottom"/>
            <w:tcBorders>
              <w:bottom w:val="single" w:sz="8" w:color="2D53A6"/>
              <w:right w:val="single" w:sz="8" w:color="2D53A6"/>
            </w:tcBorders>
          </w:tcPr>
          <w:p>
            <w:pPr>
              <w:spacing w:after="0"/>
              <w:rPr>
                <w:sz w:val="2"/>
                <w:szCs w:val="2"/>
                <w:color w:val="auto"/>
              </w:rPr>
            </w:pPr>
          </w:p>
        </w:tc>
        <w:tc>
          <w:tcPr>
            <w:tcW w:w="1500" w:type="dxa"/>
            <w:vAlign w:val="bottom"/>
            <w:tcBorders>
              <w:bottom w:val="single" w:sz="8" w:color="2D53A6"/>
              <w:right w:val="single" w:sz="8" w:color="2D53A6"/>
            </w:tcBorders>
          </w:tcPr>
          <w:p>
            <w:pPr>
              <w:spacing w:after="0"/>
              <w:rPr>
                <w:sz w:val="2"/>
                <w:szCs w:val="2"/>
                <w:color w:val="auto"/>
              </w:rPr>
            </w:pPr>
          </w:p>
        </w:tc>
        <w:tc>
          <w:tcPr>
            <w:tcW w:w="1500" w:type="dxa"/>
            <w:vAlign w:val="bottom"/>
            <w:tcBorders>
              <w:bottom w:val="single" w:sz="8" w:color="2D53A6"/>
              <w:right w:val="single" w:sz="8" w:color="2D53A6"/>
            </w:tcBorders>
          </w:tcPr>
          <w:p>
            <w:pPr>
              <w:spacing w:after="0"/>
              <w:rPr>
                <w:sz w:val="2"/>
                <w:szCs w:val="2"/>
                <w:color w:val="auto"/>
              </w:rPr>
            </w:pPr>
          </w:p>
        </w:tc>
        <w:tc>
          <w:tcPr>
            <w:tcW w:w="146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right w:val="single" w:sz="8" w:color="2D53A6"/>
            </w:tcBorders>
          </w:tcPr>
          <w:p>
            <w:pPr>
              <w:spacing w:after="0"/>
              <w:rPr>
                <w:sz w:val="2"/>
                <w:szCs w:val="2"/>
                <w:color w:val="auto"/>
              </w:rPr>
            </w:pPr>
          </w:p>
        </w:tc>
      </w:tr>
      <w:tr>
        <w:trPr>
          <w:trHeight w:val="287"/>
        </w:trPr>
        <w:tc>
          <w:tcPr>
            <w:tcW w:w="3000" w:type="dxa"/>
            <w:vAlign w:val="bottom"/>
            <w:tcBorders>
              <w:bottom w:val="single" w:sz="8" w:color="2D53A6"/>
            </w:tcBorders>
            <w:shd w:val="clear" w:color="auto" w:fill="E6E6E6"/>
          </w:tcPr>
          <w:p>
            <w:pPr>
              <w:spacing w:after="0"/>
              <w:rPr>
                <w:sz w:val="24"/>
                <w:szCs w:val="24"/>
                <w:color w:val="auto"/>
              </w:rPr>
            </w:pPr>
          </w:p>
        </w:tc>
        <w:tc>
          <w:tcPr>
            <w:tcW w:w="5380" w:type="dxa"/>
            <w:vAlign w:val="bottom"/>
            <w:tcBorders>
              <w:bottom w:val="single" w:sz="8" w:color="2D53A6"/>
              <w:right w:val="single" w:sz="8" w:color="E6E6E6"/>
            </w:tcBorders>
            <w:gridSpan w:val="3"/>
            <w:shd w:val="clear" w:color="auto" w:fill="E6E6E6"/>
          </w:tcPr>
          <w:p>
            <w:pPr>
              <w:ind w:left="40"/>
              <w:spacing w:after="0"/>
              <w:rPr>
                <w:sz w:val="20"/>
                <w:szCs w:val="20"/>
                <w:color w:val="auto"/>
              </w:rPr>
            </w:pPr>
            <w:r>
              <w:rPr>
                <w:rFonts w:ascii="Arial" w:cs="Arial" w:eastAsia="Arial" w:hAnsi="Arial"/>
                <w:sz w:val="20"/>
                <w:szCs w:val="20"/>
                <w:b w:val="1"/>
                <w:bCs w:val="1"/>
                <w:color w:val="auto"/>
              </w:rPr>
              <w:t>Actual Amount of Fiscal Year 2024 STI Cash Incentives</w:t>
            </w:r>
          </w:p>
        </w:tc>
        <w:tc>
          <w:tcPr>
            <w:tcW w:w="1460" w:type="dxa"/>
            <w:vAlign w:val="bottom"/>
            <w:tcBorders>
              <w:bottom w:val="single" w:sz="8" w:color="2D53A6"/>
              <w:right w:val="single" w:sz="8" w:color="E6E6E6"/>
            </w:tcBorders>
            <w:shd w:val="clear" w:color="auto" w:fill="E6E6E6"/>
          </w:tcPr>
          <w:p>
            <w:pPr>
              <w:spacing w:after="0"/>
              <w:rPr>
                <w:sz w:val="24"/>
                <w:szCs w:val="24"/>
                <w:color w:val="auto"/>
              </w:rPr>
            </w:pPr>
          </w:p>
        </w:tc>
        <w:tc>
          <w:tcPr>
            <w:tcW w:w="1400" w:type="dxa"/>
            <w:vAlign w:val="bottom"/>
            <w:tcBorders>
              <w:bottom w:val="single" w:sz="8" w:color="2D53A6"/>
              <w:right w:val="single" w:sz="8" w:color="2D53A6"/>
            </w:tcBorders>
            <w:shd w:val="clear" w:color="auto" w:fill="E6E6E6"/>
          </w:tcPr>
          <w:p>
            <w:pPr>
              <w:spacing w:after="0"/>
              <w:rPr>
                <w:sz w:val="24"/>
                <w:szCs w:val="24"/>
                <w:color w:val="auto"/>
              </w:rPr>
            </w:pPr>
          </w:p>
        </w:tc>
      </w:tr>
      <w:tr>
        <w:trPr>
          <w:trHeight w:val="258"/>
        </w:trPr>
        <w:tc>
          <w:tcPr>
            <w:tcW w:w="3000" w:type="dxa"/>
            <w:vAlign w:val="bottom"/>
          </w:tcPr>
          <w:p>
            <w:pPr>
              <w:ind w:left="40"/>
              <w:spacing w:after="0"/>
              <w:rPr>
                <w:sz w:val="20"/>
                <w:szCs w:val="20"/>
                <w:color w:val="auto"/>
              </w:rPr>
            </w:pPr>
            <w:r>
              <w:rPr>
                <w:rFonts w:ascii="Arial" w:cs="Arial" w:eastAsia="Arial" w:hAnsi="Arial"/>
                <w:sz w:val="18"/>
                <w:szCs w:val="18"/>
                <w:color w:val="auto"/>
              </w:rPr>
              <w:t>Non-Equity Incentive Award Payable</w:t>
            </w:r>
          </w:p>
        </w:tc>
        <w:tc>
          <w:tcPr>
            <w:tcW w:w="2380" w:type="dxa"/>
            <w:vAlign w:val="bottom"/>
            <w:tcBorders>
              <w:right w:val="single" w:sz="8" w:color="2D53A6"/>
            </w:tcBorders>
          </w:tcPr>
          <w:p>
            <w:pPr>
              <w:spacing w:after="0"/>
              <w:rPr>
                <w:sz w:val="22"/>
                <w:szCs w:val="22"/>
                <w:color w:val="auto"/>
              </w:rPr>
            </w:pP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9"/>
              </w:rPr>
              <w:t>$0</w:t>
            </w: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9"/>
              </w:rPr>
              <w:t>$0</w:t>
            </w:r>
          </w:p>
        </w:tc>
        <w:tc>
          <w:tcPr>
            <w:tcW w:w="14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9"/>
              </w:rPr>
              <w:t>$0</w:t>
            </w:r>
          </w:p>
        </w:tc>
      </w:tr>
      <w:tr>
        <w:trPr>
          <w:trHeight w:val="23"/>
        </w:trPr>
        <w:tc>
          <w:tcPr>
            <w:tcW w:w="3000" w:type="dxa"/>
            <w:vAlign w:val="bottom"/>
            <w:tcBorders>
              <w:bottom w:val="single" w:sz="8" w:color="2D53A6"/>
            </w:tcBorders>
          </w:tcPr>
          <w:p>
            <w:pPr>
              <w:spacing w:after="0"/>
              <w:rPr>
                <w:sz w:val="2"/>
                <w:szCs w:val="2"/>
                <w:color w:val="auto"/>
              </w:rPr>
            </w:pPr>
          </w:p>
        </w:tc>
        <w:tc>
          <w:tcPr>
            <w:tcW w:w="2380" w:type="dxa"/>
            <w:vAlign w:val="bottom"/>
            <w:tcBorders>
              <w:bottom w:val="single" w:sz="8" w:color="2D53A6"/>
              <w:right w:val="single" w:sz="8" w:color="2D53A6"/>
            </w:tcBorders>
          </w:tcPr>
          <w:p>
            <w:pPr>
              <w:spacing w:after="0"/>
              <w:rPr>
                <w:sz w:val="2"/>
                <w:szCs w:val="2"/>
                <w:color w:val="auto"/>
              </w:rPr>
            </w:pPr>
          </w:p>
        </w:tc>
        <w:tc>
          <w:tcPr>
            <w:tcW w:w="1500" w:type="dxa"/>
            <w:vAlign w:val="bottom"/>
            <w:tcBorders>
              <w:bottom w:val="single" w:sz="8" w:color="2D53A6"/>
              <w:right w:val="single" w:sz="8" w:color="2D53A6"/>
            </w:tcBorders>
          </w:tcPr>
          <w:p>
            <w:pPr>
              <w:spacing w:after="0"/>
              <w:rPr>
                <w:sz w:val="2"/>
                <w:szCs w:val="2"/>
                <w:color w:val="auto"/>
              </w:rPr>
            </w:pPr>
          </w:p>
        </w:tc>
        <w:tc>
          <w:tcPr>
            <w:tcW w:w="1500" w:type="dxa"/>
            <w:vAlign w:val="bottom"/>
            <w:tcBorders>
              <w:bottom w:val="single" w:sz="8" w:color="2D53A6"/>
              <w:right w:val="single" w:sz="8" w:color="2D53A6"/>
            </w:tcBorders>
          </w:tcPr>
          <w:p>
            <w:pPr>
              <w:spacing w:after="0"/>
              <w:rPr>
                <w:sz w:val="2"/>
                <w:szCs w:val="2"/>
                <w:color w:val="auto"/>
              </w:rPr>
            </w:pPr>
          </w:p>
        </w:tc>
        <w:tc>
          <w:tcPr>
            <w:tcW w:w="146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right w:val="single" w:sz="8" w:color="2D53A6"/>
            </w:tcBorders>
          </w:tcPr>
          <w:p>
            <w:pPr>
              <w:spacing w:after="0"/>
              <w:rPr>
                <w:sz w:val="2"/>
                <w:szCs w:val="2"/>
                <w:color w:val="auto"/>
              </w:rPr>
            </w:pPr>
          </w:p>
        </w:tc>
      </w:tr>
      <w:tr>
        <w:trPr>
          <w:trHeight w:val="254"/>
        </w:trPr>
        <w:tc>
          <w:tcPr>
            <w:tcW w:w="3000" w:type="dxa"/>
            <w:vAlign w:val="bottom"/>
          </w:tcPr>
          <w:p>
            <w:pPr>
              <w:ind w:left="40"/>
              <w:spacing w:after="0"/>
              <w:rPr>
                <w:sz w:val="20"/>
                <w:szCs w:val="20"/>
                <w:color w:val="auto"/>
              </w:rPr>
            </w:pPr>
            <w:r>
              <w:rPr>
                <w:rFonts w:ascii="Arial" w:cs="Arial" w:eastAsia="Arial" w:hAnsi="Arial"/>
                <w:sz w:val="18"/>
                <w:szCs w:val="18"/>
                <w:color w:val="auto"/>
              </w:rPr>
              <w:t>% Targeted Award Amount</w:t>
            </w:r>
          </w:p>
        </w:tc>
        <w:tc>
          <w:tcPr>
            <w:tcW w:w="2380" w:type="dxa"/>
            <w:vAlign w:val="bottom"/>
            <w:tcBorders>
              <w:right w:val="single" w:sz="8" w:color="2D53A6"/>
            </w:tcBorders>
          </w:tcPr>
          <w:p>
            <w:pPr>
              <w:spacing w:after="0"/>
              <w:rPr>
                <w:sz w:val="22"/>
                <w:szCs w:val="22"/>
                <w:color w:val="auto"/>
              </w:rPr>
            </w:pP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7"/>
              </w:rPr>
              <w:t>0.0%</w:t>
            </w:r>
          </w:p>
        </w:tc>
        <w:tc>
          <w:tcPr>
            <w:tcW w:w="15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0.0%</w:t>
            </w:r>
          </w:p>
        </w:tc>
        <w:tc>
          <w:tcPr>
            <w:tcW w:w="14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0.0%</w:t>
            </w:r>
          </w:p>
        </w:tc>
        <w:tc>
          <w:tcPr>
            <w:tcW w:w="14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0.0%</w:t>
            </w:r>
          </w:p>
        </w:tc>
      </w:tr>
      <w:tr>
        <w:trPr>
          <w:trHeight w:val="23"/>
        </w:trPr>
        <w:tc>
          <w:tcPr>
            <w:tcW w:w="3000" w:type="dxa"/>
            <w:vAlign w:val="bottom"/>
            <w:tcBorders>
              <w:bottom w:val="single" w:sz="8" w:color="2D53A6"/>
            </w:tcBorders>
          </w:tcPr>
          <w:p>
            <w:pPr>
              <w:spacing w:after="0"/>
              <w:rPr>
                <w:sz w:val="2"/>
                <w:szCs w:val="2"/>
                <w:color w:val="auto"/>
              </w:rPr>
            </w:pPr>
          </w:p>
        </w:tc>
        <w:tc>
          <w:tcPr>
            <w:tcW w:w="2380" w:type="dxa"/>
            <w:vAlign w:val="bottom"/>
            <w:tcBorders>
              <w:bottom w:val="single" w:sz="8" w:color="2D53A6"/>
              <w:right w:val="single" w:sz="8" w:color="2D53A6"/>
            </w:tcBorders>
          </w:tcPr>
          <w:p>
            <w:pPr>
              <w:spacing w:after="0"/>
              <w:rPr>
                <w:sz w:val="2"/>
                <w:szCs w:val="2"/>
                <w:color w:val="auto"/>
              </w:rPr>
            </w:pPr>
          </w:p>
        </w:tc>
        <w:tc>
          <w:tcPr>
            <w:tcW w:w="1500" w:type="dxa"/>
            <w:vAlign w:val="bottom"/>
            <w:tcBorders>
              <w:bottom w:val="single" w:sz="8" w:color="2D53A6"/>
              <w:right w:val="single" w:sz="8" w:color="2D53A6"/>
            </w:tcBorders>
          </w:tcPr>
          <w:p>
            <w:pPr>
              <w:spacing w:after="0"/>
              <w:rPr>
                <w:sz w:val="2"/>
                <w:szCs w:val="2"/>
                <w:color w:val="auto"/>
              </w:rPr>
            </w:pPr>
          </w:p>
        </w:tc>
        <w:tc>
          <w:tcPr>
            <w:tcW w:w="1500" w:type="dxa"/>
            <w:vAlign w:val="bottom"/>
            <w:tcBorders>
              <w:bottom w:val="single" w:sz="8" w:color="2D53A6"/>
              <w:right w:val="single" w:sz="8" w:color="2D53A6"/>
            </w:tcBorders>
          </w:tcPr>
          <w:p>
            <w:pPr>
              <w:spacing w:after="0"/>
              <w:rPr>
                <w:sz w:val="2"/>
                <w:szCs w:val="2"/>
                <w:color w:val="auto"/>
              </w:rPr>
            </w:pPr>
          </w:p>
        </w:tc>
        <w:tc>
          <w:tcPr>
            <w:tcW w:w="1460" w:type="dxa"/>
            <w:vAlign w:val="bottom"/>
            <w:tcBorders>
              <w:bottom w:val="single" w:sz="8" w:color="2D53A6"/>
              <w:right w:val="single" w:sz="8" w:color="2D53A6"/>
            </w:tcBorders>
          </w:tcPr>
          <w:p>
            <w:pPr>
              <w:spacing w:after="0"/>
              <w:rPr>
                <w:sz w:val="2"/>
                <w:szCs w:val="2"/>
                <w:color w:val="auto"/>
              </w:rPr>
            </w:pPr>
          </w:p>
        </w:tc>
        <w:tc>
          <w:tcPr>
            <w:tcW w:w="1400" w:type="dxa"/>
            <w:vAlign w:val="bottom"/>
            <w:tcBorders>
              <w:bottom w:val="single" w:sz="8" w:color="2D53A6"/>
              <w:right w:val="single" w:sz="8" w:color="2D53A6"/>
            </w:tcBorders>
          </w:tcPr>
          <w:p>
            <w:pPr>
              <w:spacing w:after="0"/>
              <w:rPr>
                <w:sz w:val="2"/>
                <w:szCs w:val="2"/>
                <w:color w:val="auto"/>
              </w:rPr>
            </w:pPr>
          </w:p>
        </w:tc>
      </w:tr>
    </w:tbl>
    <w:p>
      <w:pPr>
        <w:spacing w:after="0" w:line="193"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2024 4-year rolling sales growth rate of (7.9)% is calculated as follows: the result of the sum of each year’s net sales from 2021 through 2024 (in thousands: $887,214,</w:t>
      </w:r>
    </w:p>
    <w:p>
      <w:pPr>
        <w:spacing w:after="0" w:line="15" w:lineRule="exact"/>
        <w:rPr>
          <w:rFonts w:ascii="Arial" w:cs="Arial" w:eastAsia="Arial" w:hAnsi="Arial"/>
          <w:sz w:val="14"/>
          <w:szCs w:val="14"/>
          <w:color w:val="auto"/>
        </w:rPr>
      </w:pPr>
    </w:p>
    <w:p>
      <w:pPr>
        <w:ind w:left="340" w:right="460"/>
        <w:spacing w:after="0" w:line="264" w:lineRule="auto"/>
        <w:rPr>
          <w:rFonts w:ascii="Arial" w:cs="Arial" w:eastAsia="Arial" w:hAnsi="Arial"/>
          <w:sz w:val="14"/>
          <w:szCs w:val="14"/>
          <w:color w:val="auto"/>
        </w:rPr>
      </w:pPr>
      <w:r>
        <w:rPr>
          <w:rFonts w:ascii="Arial" w:cs="Arial" w:eastAsia="Arial" w:hAnsi="Arial"/>
          <w:sz w:val="14"/>
          <w:szCs w:val="14"/>
          <w:color w:val="auto"/>
        </w:rPr>
        <w:t>$812,775, $636,322, $401,779 respectively), less the sum of each year’s net sales from 2020 through 2023 (in thousands: $636,007, $887,214, $812,775, $636,322 respectively), divided by the sum of each year’s net sales from 2020 through 2023.</w:t>
      </w:r>
    </w:p>
    <w:p>
      <w:pPr>
        <w:spacing w:after="0" w:line="23"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4-year rolling sales growth result is weighted at 30% of the total 2024 STI target award amount</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2024 GAAP pre-tax Income (Loss) was ($64,946) (in thousands) which is (16.2%) of net sales of $401,779 (in thousands). 2024 non-GAAP pre-tax Income (Loss) was</w:t>
      </w:r>
    </w:p>
    <w:p>
      <w:pPr>
        <w:spacing w:after="0" w:line="15" w:lineRule="exact"/>
        <w:rPr>
          <w:rFonts w:ascii="Arial" w:cs="Arial" w:eastAsia="Arial" w:hAnsi="Arial"/>
          <w:sz w:val="14"/>
          <w:szCs w:val="14"/>
          <w:color w:val="auto"/>
        </w:rPr>
      </w:pPr>
    </w:p>
    <w:p>
      <w:pPr>
        <w:ind w:left="340" w:right="40"/>
        <w:spacing w:after="0" w:line="264" w:lineRule="auto"/>
        <w:rPr>
          <w:rFonts w:ascii="Arial" w:cs="Arial" w:eastAsia="Arial" w:hAnsi="Arial"/>
          <w:sz w:val="14"/>
          <w:szCs w:val="14"/>
          <w:color w:val="auto"/>
        </w:rPr>
      </w:pPr>
      <w:r>
        <w:rPr>
          <w:rFonts w:ascii="Arial" w:cs="Arial" w:eastAsia="Arial" w:hAnsi="Arial"/>
          <w:sz w:val="14"/>
          <w:szCs w:val="14"/>
          <w:color w:val="auto"/>
        </w:rPr>
        <w:t>($29) (in thousands) which is (0.0%) of net sales of $401,779 (in thousands). A reconciliation of GAAP to non-GAAP pre-tax income is included in Appendix A to this proxy statement.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On February 6, 2025, the Compensation Committee, reviewed and approved the short-term incentive plan for 2025 (the “2025 STI”). The target incentive opportunities for our NEOs did not change from the 2024 STI targets. For the 2025 STI, we added a one-year sales growth rate metric to complement the existing four-year rolling sales growth metric, each weighted at 25% of the total 2025 STI incentive opportunity. The remaining 50% of the incentive opportunity will continue to be based on non-GAAP pre-tax income.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Compensation</w:t>
      </w:r>
    </w:p>
    <w:p>
      <w:pPr>
        <w:spacing w:after="0" w:line="19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provide long-term incentive compensation in the form of equity awards to our executive officers, including our NEOs. These awards are intended to align the interests of our executive officers with those of our stockholders by creating an incentive for them to maximize long-term stockholder value. They are also designed to encourage our executive officers to remain employed with us in a very competitive labor market. The Compensation Committee regularly monitors the environment in which we operate and revises our long-term incentive compensation arrangements as it determines to be necessary and appropriate to help meet our business objectives, including increasing long-term stockholder value.</w:t>
      </w:r>
    </w:p>
    <w:p>
      <w:pPr>
        <w:spacing w:after="0" w:line="16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Generally, in determining the size of the equity awards granted to our executive officers, including our NEOs, the Compensation Committee takes into consideration the recommendations of our CEO (except with respect to his own equity awards), an analysis of competitive market data prepared by its compensation consultant (with particular reference to the median of the competitive market), the potential GAAP accounting expense associated with the proposed awards (as compared to the companies in the compensation peer group), and the other factors described above. The Compensation Committee also considers the dilutive effect of our long-term incentive compensation practices, and the overall impact that these equity awards, as well as awards to other employees, will have on stockholder value. Further, the Compensation Committee has the discretion to determine whether awards in any given year will be made in the form of RSU awards, PSU awards, other awards or a combination thereof.</w:t>
      </w:r>
    </w:p>
    <w:p>
      <w:pPr>
        <w:spacing w:after="0" w:line="167"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As described in more detail in “Potential Payments Upon Termination or Change in Control” below, our 2024 RSU and PSU awards granted to our executive officers are eligible to potentially accelerate vesting upon certain qualified terminations of employment or a change in control. We believe providing these potential vesting acceleration benefits help us compete for and retain executive talent and maximize stockholder value because it provides our executives appropriate incentives to cooperate in negotiating a transaction involving a potential change in control of Cohu, including a potential change in control in which they believe they may lose their jobs or where their equity awards will not be assumed or continued.</w:t>
      </w:r>
    </w:p>
    <w:p>
      <w:pPr>
        <w:spacing w:after="0" w:line="16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terms of the stock award agreements for RSUs granted through 2024 provide that in the event of a change in control, the RSUs will accelerate vesting and be settled at the time of the change in control. The terms of the award agreements for RSUs granted to our NEOs beginning in 2025 provide that such vesting acceleration will only occur should the acquiring corporation not assume or substitute for the RSUs in the change in control. The terms of the award agreements for PSUs granted through 2024 provide that in the event of a change in control, the PSUs will accelerate vesting and be settled at the time of the change in control. The terms of the award agreements for PSUs granted to our NEOs beginning in 2025, which cannot reasonably be assumed or substituted, provide for vesting acceleration upon a change in control at the greater of the target level or the level of performance attained through the change in control.</w:t>
      </w:r>
    </w:p>
    <w:p>
      <w:pPr>
        <w:spacing w:after="0" w:line="171"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On March 12, 2024, consistent with the grant timing in prior years, the Compensation Committee, based on the factors described above, as well as considering market trends with alignment of individual responsibilities, contributions and performance, approved the grant of RSU awards and PSU awards to our executive officers, including our NEOs at the levels set forth in the table below. The Compensation Committee also determined that to continue the emphasis on performance-based compensation, the weighting of PSU awards would remain at 60% of the total annual equity awards and the weighting of RSU awards would remain at 40% of the total annual equity awards.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55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9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00" w:type="dxa"/>
            <w:vAlign w:val="bottom"/>
            <w:tcBorders>
              <w:top w:val="single" w:sz="8" w:color="0000EE"/>
            </w:tcBorders>
          </w:tcPr>
          <w:p>
            <w:pPr>
              <w:spacing w:after="0"/>
              <w:rPr>
                <w:sz w:val="19"/>
                <w:szCs w:val="19"/>
                <w:color w:val="auto"/>
              </w:rPr>
            </w:pPr>
          </w:p>
        </w:tc>
        <w:tc>
          <w:tcPr>
            <w:tcW w:w="4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400" w:type="dxa"/>
            <w:vAlign w:val="bottom"/>
            <w:shd w:val="clear" w:color="auto" w:fill="2D53A6"/>
          </w:tcPr>
          <w:p>
            <w:pPr>
              <w:spacing w:after="0"/>
              <w:rPr>
                <w:sz w:val="20"/>
                <w:szCs w:val="20"/>
                <w:color w:val="auto"/>
              </w:rPr>
            </w:pPr>
          </w:p>
        </w:tc>
        <w:tc>
          <w:tcPr>
            <w:tcW w:w="4100" w:type="dxa"/>
            <w:vAlign w:val="bottom"/>
            <w:tcBorders>
              <w:right w:val="single" w:sz="8" w:color="2D53A6"/>
            </w:tcBorders>
            <w:shd w:val="clear" w:color="auto" w:fill="2D53A6"/>
          </w:tcPr>
          <w:p>
            <w:pPr>
              <w:spacing w:after="0"/>
              <w:rPr>
                <w:sz w:val="20"/>
                <w:szCs w:val="20"/>
                <w:color w:val="auto"/>
              </w:rPr>
            </w:pPr>
          </w:p>
        </w:tc>
        <w:tc>
          <w:tcPr>
            <w:tcW w:w="19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20"/>
                <w:szCs w:val="20"/>
                <w:b w:val="1"/>
                <w:bCs w:val="1"/>
                <w:color w:val="FFFFFF"/>
                <w:w w:val="97"/>
              </w:rPr>
              <w:t>Number of</w:t>
            </w:r>
          </w:p>
        </w:tc>
        <w:tc>
          <w:tcPr>
            <w:tcW w:w="19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Number of</w:t>
            </w:r>
          </w:p>
        </w:tc>
        <w:tc>
          <w:tcPr>
            <w:tcW w:w="1840" w:type="dxa"/>
            <w:vAlign w:val="bottom"/>
            <w:shd w:val="clear" w:color="auto" w:fill="2D53A6"/>
          </w:tcPr>
          <w:p>
            <w:pPr>
              <w:jc w:val="center"/>
              <w:spacing w:after="0"/>
              <w:rPr>
                <w:sz w:val="20"/>
                <w:szCs w:val="20"/>
                <w:color w:val="auto"/>
              </w:rPr>
            </w:pPr>
            <w:r>
              <w:rPr>
                <w:rFonts w:ascii="Arial" w:cs="Arial" w:eastAsia="Arial" w:hAnsi="Arial"/>
                <w:sz w:val="20"/>
                <w:szCs w:val="20"/>
                <w:b w:val="1"/>
                <w:bCs w:val="1"/>
                <w:color w:val="FFFFFF"/>
                <w:w w:val="96"/>
              </w:rPr>
              <w:t>Total Face</w:t>
            </w:r>
          </w:p>
        </w:tc>
        <w:tc>
          <w:tcPr>
            <w:tcW w:w="0" w:type="dxa"/>
            <w:vAlign w:val="bottom"/>
          </w:tcPr>
          <w:p>
            <w:pPr>
              <w:spacing w:after="0"/>
              <w:rPr>
                <w:sz w:val="1"/>
                <w:szCs w:val="1"/>
                <w:color w:val="auto"/>
              </w:rPr>
            </w:pPr>
          </w:p>
        </w:tc>
      </w:tr>
      <w:tr>
        <w:trPr>
          <w:trHeight w:val="216"/>
        </w:trPr>
        <w:tc>
          <w:tcPr>
            <w:tcW w:w="5500" w:type="dxa"/>
            <w:vAlign w:val="bottom"/>
            <w:tcBorders>
              <w:right w:val="single" w:sz="8" w:color="2D53A6"/>
            </w:tcBorders>
            <w:gridSpan w:val="2"/>
            <w:vMerge w:val="restart"/>
            <w:shd w:val="clear" w:color="auto" w:fill="2D53A6"/>
          </w:tcPr>
          <w:p>
            <w:pPr>
              <w:ind w:left="40"/>
              <w:spacing w:after="0"/>
              <w:rPr>
                <w:sz w:val="20"/>
                <w:szCs w:val="20"/>
                <w:color w:val="auto"/>
              </w:rPr>
            </w:pPr>
            <w:r>
              <w:rPr>
                <w:rFonts w:ascii="Arial" w:cs="Arial" w:eastAsia="Arial" w:hAnsi="Arial"/>
                <w:sz w:val="20"/>
                <w:szCs w:val="20"/>
                <w:b w:val="1"/>
                <w:bCs w:val="1"/>
                <w:color w:val="FFFFFF"/>
              </w:rPr>
              <w:t>Named Executive Officer</w:t>
            </w:r>
          </w:p>
        </w:tc>
        <w:tc>
          <w:tcPr>
            <w:tcW w:w="1960" w:type="dxa"/>
            <w:vAlign w:val="bottom"/>
            <w:tcBorders>
              <w:right w:val="single" w:sz="8" w:color="2D53A6"/>
            </w:tcBorders>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8"/>
              </w:rPr>
              <w:t>Restricted</w:t>
            </w:r>
          </w:p>
        </w:tc>
        <w:tc>
          <w:tcPr>
            <w:tcW w:w="1940" w:type="dxa"/>
            <w:vAlign w:val="bottom"/>
            <w:tcBorders>
              <w:right w:val="single" w:sz="8" w:color="2D53A6"/>
            </w:tcBorders>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8"/>
              </w:rPr>
              <w:t>Performance</w:t>
            </w:r>
          </w:p>
        </w:tc>
        <w:tc>
          <w:tcPr>
            <w:tcW w:w="1840" w:type="dxa"/>
            <w:vAlign w:val="bottom"/>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8"/>
              </w:rPr>
              <w:t>Value of Stock</w:t>
            </w:r>
          </w:p>
        </w:tc>
        <w:tc>
          <w:tcPr>
            <w:tcW w:w="0" w:type="dxa"/>
            <w:vAlign w:val="bottom"/>
          </w:tcPr>
          <w:p>
            <w:pPr>
              <w:spacing w:after="0"/>
              <w:rPr>
                <w:sz w:val="1"/>
                <w:szCs w:val="1"/>
                <w:color w:val="auto"/>
              </w:rPr>
            </w:pPr>
          </w:p>
        </w:tc>
      </w:tr>
      <w:tr>
        <w:trPr>
          <w:trHeight w:val="165"/>
        </w:trPr>
        <w:tc>
          <w:tcPr>
            <w:tcW w:w="5500" w:type="dxa"/>
            <w:vAlign w:val="bottom"/>
            <w:tcBorders>
              <w:right w:val="single" w:sz="8" w:color="2D53A6"/>
            </w:tcBorders>
            <w:gridSpan w:val="2"/>
            <w:vMerge w:val="continue"/>
            <w:shd w:val="clear" w:color="auto" w:fill="2D53A6"/>
          </w:tcPr>
          <w:p>
            <w:pPr>
              <w:spacing w:after="0"/>
              <w:rPr>
                <w:sz w:val="14"/>
                <w:szCs w:val="14"/>
                <w:color w:val="auto"/>
              </w:rPr>
            </w:pPr>
          </w:p>
        </w:tc>
        <w:tc>
          <w:tcPr>
            <w:tcW w:w="1960" w:type="dxa"/>
            <w:vAlign w:val="bottom"/>
            <w:tcBorders>
              <w:right w:val="single" w:sz="8" w:color="2D53A6"/>
            </w:tcBorders>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8"/>
              </w:rPr>
              <w:t>Stock Units</w:t>
            </w:r>
          </w:p>
        </w:tc>
        <w:tc>
          <w:tcPr>
            <w:tcW w:w="1940" w:type="dxa"/>
            <w:vAlign w:val="bottom"/>
            <w:tcBorders>
              <w:right w:val="single" w:sz="8" w:color="2D53A6"/>
            </w:tcBorders>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8"/>
              </w:rPr>
              <w:t>Stock Units</w:t>
            </w:r>
          </w:p>
        </w:tc>
        <w:tc>
          <w:tcPr>
            <w:tcW w:w="1840" w:type="dxa"/>
            <w:vAlign w:val="bottom"/>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8"/>
              </w:rPr>
              <w:t>Units at Time</w:t>
            </w:r>
          </w:p>
        </w:tc>
        <w:tc>
          <w:tcPr>
            <w:tcW w:w="0" w:type="dxa"/>
            <w:vAlign w:val="bottom"/>
          </w:tcPr>
          <w:p>
            <w:pPr>
              <w:spacing w:after="0"/>
              <w:rPr>
                <w:sz w:val="1"/>
                <w:szCs w:val="1"/>
                <w:color w:val="auto"/>
              </w:rPr>
            </w:pPr>
          </w:p>
        </w:tc>
      </w:tr>
      <w:tr>
        <w:trPr>
          <w:trHeight w:val="51"/>
        </w:trPr>
        <w:tc>
          <w:tcPr>
            <w:tcW w:w="1400" w:type="dxa"/>
            <w:vAlign w:val="bottom"/>
            <w:shd w:val="clear" w:color="auto" w:fill="2D53A6"/>
          </w:tcPr>
          <w:p>
            <w:pPr>
              <w:spacing w:after="0"/>
              <w:rPr>
                <w:sz w:val="4"/>
                <w:szCs w:val="4"/>
                <w:color w:val="auto"/>
              </w:rPr>
            </w:pPr>
          </w:p>
        </w:tc>
        <w:tc>
          <w:tcPr>
            <w:tcW w:w="4100" w:type="dxa"/>
            <w:vAlign w:val="bottom"/>
            <w:tcBorders>
              <w:right w:val="single" w:sz="8" w:color="2D53A6"/>
            </w:tcBorders>
            <w:shd w:val="clear" w:color="auto" w:fill="2D53A6"/>
          </w:tcPr>
          <w:p>
            <w:pPr>
              <w:spacing w:after="0"/>
              <w:rPr>
                <w:sz w:val="4"/>
                <w:szCs w:val="4"/>
                <w:color w:val="auto"/>
              </w:rPr>
            </w:pPr>
          </w:p>
        </w:tc>
        <w:tc>
          <w:tcPr>
            <w:tcW w:w="1960" w:type="dxa"/>
            <w:vAlign w:val="bottom"/>
            <w:tcBorders>
              <w:right w:val="single" w:sz="8" w:color="2D53A6"/>
            </w:tcBorders>
            <w:vMerge w:val="continue"/>
            <w:shd w:val="clear" w:color="auto" w:fill="2D53A6"/>
          </w:tcPr>
          <w:p>
            <w:pPr>
              <w:spacing w:after="0"/>
              <w:rPr>
                <w:sz w:val="4"/>
                <w:szCs w:val="4"/>
                <w:color w:val="auto"/>
              </w:rPr>
            </w:pPr>
          </w:p>
        </w:tc>
        <w:tc>
          <w:tcPr>
            <w:tcW w:w="1940" w:type="dxa"/>
            <w:vAlign w:val="bottom"/>
            <w:tcBorders>
              <w:right w:val="single" w:sz="8" w:color="2D53A6"/>
            </w:tcBorders>
            <w:vMerge w:val="continue"/>
            <w:shd w:val="clear" w:color="auto" w:fill="2D53A6"/>
          </w:tcPr>
          <w:p>
            <w:pPr>
              <w:spacing w:after="0"/>
              <w:rPr>
                <w:sz w:val="4"/>
                <w:szCs w:val="4"/>
                <w:color w:val="auto"/>
              </w:rPr>
            </w:pPr>
          </w:p>
        </w:tc>
        <w:tc>
          <w:tcPr>
            <w:tcW w:w="1840" w:type="dxa"/>
            <w:vAlign w:val="bottom"/>
            <w:vMerge w:val="continue"/>
            <w:shd w:val="clear" w:color="auto" w:fill="2D53A6"/>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1400" w:type="dxa"/>
            <w:vAlign w:val="bottom"/>
            <w:tcBorders>
              <w:bottom w:val="single" w:sz="8" w:color="2D53A6"/>
            </w:tcBorders>
            <w:shd w:val="clear" w:color="auto" w:fill="2D53A6"/>
          </w:tcPr>
          <w:p>
            <w:pPr>
              <w:spacing w:after="0"/>
              <w:rPr>
                <w:sz w:val="23"/>
                <w:szCs w:val="23"/>
                <w:color w:val="auto"/>
              </w:rPr>
            </w:pPr>
          </w:p>
        </w:tc>
        <w:tc>
          <w:tcPr>
            <w:tcW w:w="4100" w:type="dxa"/>
            <w:vAlign w:val="bottom"/>
            <w:tcBorders>
              <w:bottom w:val="single" w:sz="8" w:color="2D53A6"/>
              <w:right w:val="single" w:sz="8" w:color="2D53A6"/>
            </w:tcBorders>
            <w:shd w:val="clear" w:color="auto" w:fill="2D53A6"/>
          </w:tcPr>
          <w:p>
            <w:pPr>
              <w:spacing w:after="0"/>
              <w:rPr>
                <w:sz w:val="23"/>
                <w:szCs w:val="23"/>
                <w:color w:val="auto"/>
              </w:rPr>
            </w:pPr>
          </w:p>
        </w:tc>
        <w:tc>
          <w:tcPr>
            <w:tcW w:w="1960" w:type="dxa"/>
            <w:vAlign w:val="bottom"/>
            <w:tcBorders>
              <w:bottom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Granted</w:t>
            </w:r>
          </w:p>
        </w:tc>
        <w:tc>
          <w:tcPr>
            <w:tcW w:w="1940" w:type="dxa"/>
            <w:vAlign w:val="bottom"/>
            <w:tcBorders>
              <w:bottom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20"/>
                <w:szCs w:val="20"/>
                <w:b w:val="1"/>
                <w:bCs w:val="1"/>
                <w:color w:val="FFFFFF"/>
                <w:w w:val="98"/>
              </w:rPr>
              <w:t xml:space="preserve">Granted </w:t>
            </w:r>
            <w:r>
              <w:rPr>
                <w:rFonts w:ascii="Arial" w:cs="Arial" w:eastAsia="Arial" w:hAnsi="Arial"/>
                <w:sz w:val="16"/>
                <w:szCs w:val="16"/>
                <w:b w:val="1"/>
                <w:bCs w:val="1"/>
                <w:color w:val="FFFFFF"/>
                <w:w w:val="98"/>
              </w:rPr>
              <w:t>(1)</w:t>
            </w:r>
          </w:p>
        </w:tc>
        <w:tc>
          <w:tcPr>
            <w:tcW w:w="1840" w:type="dxa"/>
            <w:vAlign w:val="bottom"/>
            <w:tcBorders>
              <w:bottom w:val="single" w:sz="8" w:color="2D53A6"/>
            </w:tcBorders>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 xml:space="preserve">of Grant </w:t>
            </w:r>
            <w:r>
              <w:rPr>
                <w:rFonts w:ascii="Arial" w:cs="Arial" w:eastAsia="Arial" w:hAnsi="Arial"/>
                <w:sz w:val="16"/>
                <w:szCs w:val="16"/>
                <w:b w:val="1"/>
                <w:bCs w:val="1"/>
                <w:color w:val="FFFFFF"/>
                <w:w w:val="99"/>
              </w:rPr>
              <w:t>(2)</w:t>
            </w:r>
          </w:p>
        </w:tc>
        <w:tc>
          <w:tcPr>
            <w:tcW w:w="0" w:type="dxa"/>
            <w:vAlign w:val="bottom"/>
          </w:tcPr>
          <w:p>
            <w:pPr>
              <w:spacing w:after="0"/>
              <w:rPr>
                <w:sz w:val="1"/>
                <w:szCs w:val="1"/>
                <w:color w:val="auto"/>
              </w:rPr>
            </w:pPr>
          </w:p>
        </w:tc>
      </w:tr>
      <w:tr>
        <w:trPr>
          <w:trHeight w:val="261"/>
        </w:trPr>
        <w:tc>
          <w:tcPr>
            <w:tcW w:w="5500" w:type="dxa"/>
            <w:vAlign w:val="bottom"/>
            <w:tcBorders>
              <w:right w:val="single" w:sz="8" w:color="2D53A6"/>
            </w:tcBorders>
            <w:gridSpan w:val="2"/>
          </w:tcPr>
          <w:p>
            <w:pPr>
              <w:ind w:left="40"/>
              <w:spacing w:after="0"/>
              <w:rPr>
                <w:sz w:val="20"/>
                <w:szCs w:val="20"/>
                <w:color w:val="auto"/>
              </w:rPr>
            </w:pPr>
            <w:r>
              <w:rPr>
                <w:rFonts w:ascii="Arial" w:cs="Arial" w:eastAsia="Arial" w:hAnsi="Arial"/>
                <w:sz w:val="18"/>
                <w:szCs w:val="18"/>
                <w:color w:val="auto"/>
              </w:rPr>
              <w:t>Luis A. Müller</w:t>
            </w:r>
          </w:p>
        </w:tc>
        <w:tc>
          <w:tcPr>
            <w:tcW w:w="19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8"/>
              </w:rPr>
              <w:t>49,443</w:t>
            </w:r>
          </w:p>
        </w:tc>
        <w:tc>
          <w:tcPr>
            <w:tcW w:w="194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74,165</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$3,933,207</w:t>
            </w:r>
          </w:p>
        </w:tc>
        <w:tc>
          <w:tcPr>
            <w:tcW w:w="0" w:type="dxa"/>
            <w:vAlign w:val="bottom"/>
          </w:tcPr>
          <w:p>
            <w:pPr>
              <w:spacing w:after="0"/>
              <w:rPr>
                <w:sz w:val="1"/>
                <w:szCs w:val="1"/>
                <w:color w:val="auto"/>
              </w:rPr>
            </w:pPr>
          </w:p>
        </w:tc>
      </w:tr>
      <w:tr>
        <w:trPr>
          <w:trHeight w:val="23"/>
        </w:trPr>
        <w:tc>
          <w:tcPr>
            <w:tcW w:w="1400" w:type="dxa"/>
            <w:vAlign w:val="bottom"/>
            <w:tcBorders>
              <w:bottom w:val="single" w:sz="8" w:color="2D53A6"/>
            </w:tcBorders>
          </w:tcPr>
          <w:p>
            <w:pPr>
              <w:spacing w:after="0"/>
              <w:rPr>
                <w:sz w:val="2"/>
                <w:szCs w:val="2"/>
                <w:color w:val="auto"/>
              </w:rPr>
            </w:pPr>
          </w:p>
        </w:tc>
        <w:tc>
          <w:tcPr>
            <w:tcW w:w="4100" w:type="dxa"/>
            <w:vAlign w:val="bottom"/>
            <w:tcBorders>
              <w:bottom w:val="single" w:sz="8" w:color="2D53A6"/>
              <w:right w:val="single" w:sz="8" w:color="2D53A6"/>
            </w:tcBorders>
          </w:tcPr>
          <w:p>
            <w:pPr>
              <w:spacing w:after="0"/>
              <w:rPr>
                <w:sz w:val="2"/>
                <w:szCs w:val="2"/>
                <w:color w:val="auto"/>
              </w:rPr>
            </w:pPr>
          </w:p>
        </w:tc>
        <w:tc>
          <w:tcPr>
            <w:tcW w:w="1960" w:type="dxa"/>
            <w:vAlign w:val="bottom"/>
            <w:tcBorders>
              <w:bottom w:val="single" w:sz="8" w:color="2D53A6"/>
              <w:right w:val="single" w:sz="8" w:color="2D53A6"/>
            </w:tcBorders>
          </w:tcPr>
          <w:p>
            <w:pPr>
              <w:spacing w:after="0"/>
              <w:rPr>
                <w:sz w:val="2"/>
                <w:szCs w:val="2"/>
                <w:color w:val="auto"/>
              </w:rPr>
            </w:pPr>
          </w:p>
        </w:tc>
        <w:tc>
          <w:tcPr>
            <w:tcW w:w="1940" w:type="dxa"/>
            <w:vAlign w:val="bottom"/>
            <w:tcBorders>
              <w:bottom w:val="single" w:sz="8" w:color="2D53A6"/>
              <w:right w:val="single" w:sz="8" w:color="2D53A6"/>
            </w:tcBorders>
          </w:tcPr>
          <w:p>
            <w:pPr>
              <w:spacing w:after="0"/>
              <w:rPr>
                <w:sz w:val="2"/>
                <w:szCs w:val="2"/>
                <w:color w:val="auto"/>
              </w:rPr>
            </w:pPr>
          </w:p>
        </w:tc>
        <w:tc>
          <w:tcPr>
            <w:tcW w:w="184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500" w:type="dxa"/>
            <w:vAlign w:val="bottom"/>
            <w:tcBorders>
              <w:bottom w:val="single" w:sz="8" w:color="E6E6E6"/>
              <w:right w:val="single" w:sz="8" w:color="2D53A6"/>
            </w:tcBorders>
            <w:gridSpan w:val="2"/>
            <w:shd w:val="clear" w:color="auto" w:fill="E6E6E6"/>
          </w:tcPr>
          <w:p>
            <w:pPr>
              <w:ind w:left="40"/>
              <w:spacing w:after="0"/>
              <w:rPr>
                <w:sz w:val="20"/>
                <w:szCs w:val="20"/>
                <w:color w:val="auto"/>
              </w:rPr>
            </w:pPr>
            <w:r>
              <w:rPr>
                <w:rFonts w:ascii="Arial" w:cs="Arial" w:eastAsia="Arial" w:hAnsi="Arial"/>
                <w:sz w:val="18"/>
                <w:szCs w:val="18"/>
                <w:color w:val="auto"/>
              </w:rPr>
              <w:t>Jeffrey D. Jones</w:t>
            </w:r>
          </w:p>
        </w:tc>
        <w:tc>
          <w:tcPr>
            <w:tcW w:w="196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8"/>
              </w:rPr>
              <w:t>16,316</w:t>
            </w:r>
          </w:p>
        </w:tc>
        <w:tc>
          <w:tcPr>
            <w:tcW w:w="194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24,474</w:t>
            </w:r>
          </w:p>
        </w:tc>
        <w:tc>
          <w:tcPr>
            <w:tcW w:w="18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$1,297,938</w:t>
            </w:r>
          </w:p>
        </w:tc>
        <w:tc>
          <w:tcPr>
            <w:tcW w:w="0" w:type="dxa"/>
            <w:vAlign w:val="bottom"/>
          </w:tcPr>
          <w:p>
            <w:pPr>
              <w:spacing w:after="0"/>
              <w:rPr>
                <w:sz w:val="1"/>
                <w:szCs w:val="1"/>
                <w:color w:val="auto"/>
              </w:rPr>
            </w:pPr>
          </w:p>
        </w:tc>
      </w:tr>
      <w:tr>
        <w:trPr>
          <w:trHeight w:val="254"/>
        </w:trPr>
        <w:tc>
          <w:tcPr>
            <w:tcW w:w="5500" w:type="dxa"/>
            <w:vAlign w:val="bottom"/>
            <w:tcBorders>
              <w:top w:val="single" w:sz="8" w:color="2D53A6"/>
              <w:right w:val="single" w:sz="8" w:color="2D53A6"/>
            </w:tcBorders>
            <w:gridSpan w:val="2"/>
          </w:tcPr>
          <w:p>
            <w:pPr>
              <w:ind w:left="40"/>
              <w:spacing w:after="0"/>
              <w:rPr>
                <w:sz w:val="20"/>
                <w:szCs w:val="20"/>
                <w:color w:val="auto"/>
              </w:rPr>
            </w:pPr>
            <w:r>
              <w:rPr>
                <w:rFonts w:ascii="Arial" w:cs="Arial" w:eastAsia="Arial" w:hAnsi="Arial"/>
                <w:sz w:val="18"/>
                <w:szCs w:val="18"/>
                <w:color w:val="auto"/>
              </w:rPr>
              <w:t>Christopher G. Bohrson</w:t>
            </w:r>
          </w:p>
        </w:tc>
        <w:tc>
          <w:tcPr>
            <w:tcW w:w="196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8"/>
              </w:rPr>
              <w:t>12,360</w:t>
            </w:r>
          </w:p>
        </w:tc>
        <w:tc>
          <w:tcPr>
            <w:tcW w:w="194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18,541</w:t>
            </w:r>
          </w:p>
        </w:tc>
        <w:tc>
          <w:tcPr>
            <w:tcW w:w="184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rPr>
              <w:t>$983,270</w:t>
            </w:r>
          </w:p>
        </w:tc>
        <w:tc>
          <w:tcPr>
            <w:tcW w:w="0" w:type="dxa"/>
            <w:vAlign w:val="bottom"/>
          </w:tcPr>
          <w:p>
            <w:pPr>
              <w:spacing w:after="0"/>
              <w:rPr>
                <w:sz w:val="1"/>
                <w:szCs w:val="1"/>
                <w:color w:val="auto"/>
              </w:rPr>
            </w:pPr>
          </w:p>
        </w:tc>
      </w:tr>
      <w:tr>
        <w:trPr>
          <w:trHeight w:val="23"/>
        </w:trPr>
        <w:tc>
          <w:tcPr>
            <w:tcW w:w="1400" w:type="dxa"/>
            <w:vAlign w:val="bottom"/>
            <w:tcBorders>
              <w:bottom w:val="single" w:sz="8" w:color="2D53A6"/>
            </w:tcBorders>
          </w:tcPr>
          <w:p>
            <w:pPr>
              <w:spacing w:after="0"/>
              <w:rPr>
                <w:sz w:val="2"/>
                <w:szCs w:val="2"/>
                <w:color w:val="auto"/>
              </w:rPr>
            </w:pPr>
          </w:p>
        </w:tc>
        <w:tc>
          <w:tcPr>
            <w:tcW w:w="4100" w:type="dxa"/>
            <w:vAlign w:val="bottom"/>
            <w:tcBorders>
              <w:bottom w:val="single" w:sz="8" w:color="2D53A6"/>
              <w:right w:val="single" w:sz="8" w:color="2D53A6"/>
            </w:tcBorders>
          </w:tcPr>
          <w:p>
            <w:pPr>
              <w:spacing w:after="0"/>
              <w:rPr>
                <w:sz w:val="2"/>
                <w:szCs w:val="2"/>
                <w:color w:val="auto"/>
              </w:rPr>
            </w:pPr>
          </w:p>
        </w:tc>
        <w:tc>
          <w:tcPr>
            <w:tcW w:w="1960" w:type="dxa"/>
            <w:vAlign w:val="bottom"/>
            <w:tcBorders>
              <w:bottom w:val="single" w:sz="8" w:color="2D53A6"/>
              <w:right w:val="single" w:sz="8" w:color="2D53A6"/>
            </w:tcBorders>
          </w:tcPr>
          <w:p>
            <w:pPr>
              <w:spacing w:after="0"/>
              <w:rPr>
                <w:sz w:val="2"/>
                <w:szCs w:val="2"/>
                <w:color w:val="auto"/>
              </w:rPr>
            </w:pPr>
          </w:p>
        </w:tc>
        <w:tc>
          <w:tcPr>
            <w:tcW w:w="1940" w:type="dxa"/>
            <w:vAlign w:val="bottom"/>
            <w:tcBorders>
              <w:bottom w:val="single" w:sz="8" w:color="2D53A6"/>
              <w:right w:val="single" w:sz="8" w:color="2D53A6"/>
            </w:tcBorders>
          </w:tcPr>
          <w:p>
            <w:pPr>
              <w:spacing w:after="0"/>
              <w:rPr>
                <w:sz w:val="2"/>
                <w:szCs w:val="2"/>
                <w:color w:val="auto"/>
              </w:rPr>
            </w:pPr>
          </w:p>
        </w:tc>
        <w:tc>
          <w:tcPr>
            <w:tcW w:w="184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E6E6E6"/>
              <w:right w:val="single" w:sz="8" w:color="2D53A6"/>
            </w:tcBorders>
            <w:gridSpan w:val="2"/>
            <w:shd w:val="clear" w:color="auto" w:fill="E6E6E6"/>
          </w:tcPr>
          <w:p>
            <w:pPr>
              <w:ind w:left="40"/>
              <w:spacing w:after="0"/>
              <w:rPr>
                <w:sz w:val="20"/>
                <w:szCs w:val="20"/>
                <w:color w:val="auto"/>
              </w:rPr>
            </w:pPr>
            <w:r>
              <w:rPr>
                <w:rFonts w:ascii="Arial" w:cs="Arial" w:eastAsia="Arial" w:hAnsi="Arial"/>
                <w:sz w:val="18"/>
                <w:szCs w:val="18"/>
                <w:color w:val="auto"/>
              </w:rPr>
              <w:t>Thomas D. Kampfer</w:t>
            </w:r>
          </w:p>
        </w:tc>
        <w:tc>
          <w:tcPr>
            <w:tcW w:w="196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6,600</w:t>
            </w:r>
          </w:p>
        </w:tc>
        <w:tc>
          <w:tcPr>
            <w:tcW w:w="194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0</w:t>
            </w:r>
          </w:p>
        </w:tc>
        <w:tc>
          <w:tcPr>
            <w:tcW w:w="18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rPr>
              <w:t>$210,012</w:t>
            </w:r>
          </w:p>
        </w:tc>
        <w:tc>
          <w:tcPr>
            <w:tcW w:w="0" w:type="dxa"/>
            <w:vAlign w:val="bottom"/>
          </w:tcPr>
          <w:p>
            <w:pPr>
              <w:spacing w:after="0"/>
              <w:rPr>
                <w:sz w:val="1"/>
                <w:szCs w:val="1"/>
                <w:color w:val="auto"/>
              </w:rPr>
            </w:pPr>
          </w:p>
        </w:tc>
      </w:tr>
      <w:tr>
        <w:trPr>
          <w:trHeight w:val="20"/>
        </w:trPr>
        <w:tc>
          <w:tcPr>
            <w:tcW w:w="1400" w:type="dxa"/>
            <w:vAlign w:val="bottom"/>
            <w:shd w:val="clear" w:color="auto" w:fill="2D53A6"/>
          </w:tcPr>
          <w:p>
            <w:pPr>
              <w:spacing w:after="0" w:line="20" w:lineRule="exact"/>
              <w:rPr>
                <w:sz w:val="1"/>
                <w:szCs w:val="1"/>
                <w:color w:val="auto"/>
              </w:rPr>
            </w:pPr>
          </w:p>
        </w:tc>
        <w:tc>
          <w:tcPr>
            <w:tcW w:w="4100" w:type="dxa"/>
            <w:vAlign w:val="bottom"/>
            <w:tcBorders>
              <w:right w:val="single" w:sz="8" w:color="2D53A6"/>
            </w:tcBorders>
            <w:shd w:val="clear" w:color="auto" w:fill="2D53A6"/>
          </w:tcPr>
          <w:p>
            <w:pPr>
              <w:spacing w:after="0" w:line="20" w:lineRule="exact"/>
              <w:rPr>
                <w:sz w:val="1"/>
                <w:szCs w:val="1"/>
                <w:color w:val="auto"/>
              </w:rPr>
            </w:pPr>
          </w:p>
        </w:tc>
        <w:tc>
          <w:tcPr>
            <w:tcW w:w="1960" w:type="dxa"/>
            <w:vAlign w:val="bottom"/>
            <w:tcBorders>
              <w:right w:val="single" w:sz="8" w:color="2D53A6"/>
            </w:tcBorders>
            <w:shd w:val="clear" w:color="auto" w:fill="2D53A6"/>
          </w:tcPr>
          <w:p>
            <w:pPr>
              <w:spacing w:after="0" w:line="20" w:lineRule="exact"/>
              <w:rPr>
                <w:sz w:val="1"/>
                <w:szCs w:val="1"/>
                <w:color w:val="auto"/>
              </w:rPr>
            </w:pPr>
          </w:p>
        </w:tc>
        <w:tc>
          <w:tcPr>
            <w:tcW w:w="1940" w:type="dxa"/>
            <w:vAlign w:val="bottom"/>
            <w:tcBorders>
              <w:right w:val="single" w:sz="8" w:color="2D53A6"/>
            </w:tcBorders>
            <w:shd w:val="clear" w:color="auto" w:fill="2D53A6"/>
          </w:tcPr>
          <w:p>
            <w:pPr>
              <w:spacing w:after="0" w:line="20" w:lineRule="exact"/>
              <w:rPr>
                <w:sz w:val="1"/>
                <w:szCs w:val="1"/>
                <w:color w:val="auto"/>
              </w:rPr>
            </w:pPr>
          </w:p>
        </w:tc>
        <w:tc>
          <w:tcPr>
            <w:tcW w:w="1840" w:type="dxa"/>
            <w:vAlign w:val="bottom"/>
            <w:shd w:val="clear" w:color="auto" w:fill="2D53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PSUs granted at the target award level.</w:t>
      </w:r>
    </w:p>
    <w:p>
      <w:pPr>
        <w:spacing w:after="0" w:line="68" w:lineRule="exact"/>
        <w:rPr>
          <w:rFonts w:ascii="Arial" w:cs="Arial" w:eastAsia="Arial" w:hAnsi="Arial"/>
          <w:sz w:val="14"/>
          <w:szCs w:val="14"/>
          <w:color w:val="auto"/>
        </w:rPr>
      </w:pPr>
    </w:p>
    <w:p>
      <w:pPr>
        <w:ind w:left="340" w:right="200" w:hanging="332"/>
        <w:spacing w:after="0" w:line="285"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20-day average closing price of COHU common stock preceding the grant date of March 12, 2024 was $31.82. The amounts shown above are the grant date target face value for stock awards issued in the form of RSUs and PSUs granted in 2024 as calculated based on the $31.82 average closing price.</w:t>
      </w:r>
    </w:p>
    <w:p>
      <w:pPr>
        <w:spacing w:after="0" w:line="9" w:lineRule="exact"/>
        <w:rPr>
          <w:rFonts w:ascii="Arial" w:cs="Arial" w:eastAsia="Arial" w:hAnsi="Arial"/>
          <w:sz w:val="14"/>
          <w:szCs w:val="14"/>
          <w:color w:val="auto"/>
        </w:rPr>
      </w:pPr>
    </w:p>
    <w:p>
      <w:pPr>
        <w:ind w:left="340" w:right="140" w:hanging="332"/>
        <w:spacing w:after="0" w:line="285"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Mr. Kampfer’s grant was in the form of RSUs vesting on the one-year anniversary of the grant reflecting his anticipated transition to a part-time role which occurred in July 2024.</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Restricted Stock Unit Awards</w:t>
      </w:r>
    </w:p>
    <w:p>
      <w:pPr>
        <w:spacing w:after="0" w:line="19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Consistent with our other employee equity awards, the RSU awards granted to our executive officers in 2024 vest ratably over three years on each anniversary of the date of the grant except as noted above for Mr. Kampfer.</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Stock Unit Awards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2024 PSU Awards</w:t>
      </w:r>
    </w:p>
    <w:p>
      <w:pPr>
        <w:spacing w:after="0" w:line="198"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In 2024, the Compensation Committee evaluated its historical use of custom peer groups as the Comparator Group for the TSR in PSU awards and determined that continuing to use a broader-based index of companies remained appropriate to assess the performance of Cohu’s TSR. Therefore, the PSU awards granted to our executive officers in March 2024 will be earned based on our TSR as compared to the Russell 2000 Index (“RUT”) measured over a three-year performance period beginning on the first day of our fiscal year 2024, with earned shares vesting fully on the third anniversary of the date of grant. The performance period for the 2024 PSU Awards was set at three years to enhance the long-term focus of the program.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methodology on how shares of our common stock may be earned under the 2024 PSU Awards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0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20"/>
                <w:szCs w:val="20"/>
                <w:b w:val="1"/>
                <w:bCs w:val="1"/>
                <w:color w:val="FFFFFF"/>
              </w:rPr>
              <w:t>PSU Award Feature</w:t>
            </w:r>
          </w:p>
        </w:tc>
        <w:tc>
          <w:tcPr>
            <w:tcW w:w="7140" w:type="dxa"/>
            <w:vAlign w:val="bottom"/>
            <w:shd w:val="clear" w:color="auto" w:fill="2D53A6"/>
          </w:tcPr>
          <w:p>
            <w:pPr>
              <w:spacing w:after="0"/>
              <w:rPr>
                <w:sz w:val="20"/>
                <w:szCs w:val="20"/>
                <w:color w:val="auto"/>
              </w:rPr>
            </w:pPr>
            <w:r>
              <w:rPr>
                <w:rFonts w:ascii="Arial" w:cs="Arial" w:eastAsia="Arial" w:hAnsi="Arial"/>
                <w:sz w:val="20"/>
                <w:szCs w:val="20"/>
                <w:b w:val="1"/>
                <w:bCs w:val="1"/>
                <w:color w:val="FFFFFF"/>
              </w:rPr>
              <w:t>Description</w:t>
            </w:r>
          </w:p>
        </w:tc>
        <w:tc>
          <w:tcPr>
            <w:tcW w:w="0" w:type="dxa"/>
            <w:vAlign w:val="bottom"/>
          </w:tcPr>
          <w:p>
            <w:pPr>
              <w:spacing w:after="0"/>
              <w:rPr>
                <w:sz w:val="1"/>
                <w:szCs w:val="1"/>
                <w:color w:val="auto"/>
              </w:rPr>
            </w:pPr>
          </w:p>
        </w:tc>
      </w:tr>
      <w:tr>
        <w:trPr>
          <w:trHeight w:val="203"/>
        </w:trPr>
        <w:tc>
          <w:tcPr>
            <w:tcW w:w="4100" w:type="dxa"/>
            <w:vAlign w:val="bottom"/>
            <w:tcBorders>
              <w:bottom w:val="single" w:sz="8" w:color="2D53A6"/>
              <w:right w:val="single" w:sz="8" w:color="2D53A6"/>
            </w:tcBorders>
          </w:tcPr>
          <w:p>
            <w:pPr>
              <w:spacing w:after="0" w:line="202" w:lineRule="exact"/>
              <w:rPr>
                <w:sz w:val="20"/>
                <w:szCs w:val="20"/>
                <w:color w:val="auto"/>
              </w:rPr>
            </w:pPr>
            <w:r>
              <w:rPr>
                <w:rFonts w:ascii="Arial" w:cs="Arial" w:eastAsia="Arial" w:hAnsi="Arial"/>
                <w:sz w:val="18"/>
                <w:szCs w:val="18"/>
                <w:color w:val="auto"/>
              </w:rPr>
              <w:t>Performance Period</w:t>
            </w:r>
          </w:p>
        </w:tc>
        <w:tc>
          <w:tcPr>
            <w:tcW w:w="7140" w:type="dxa"/>
            <w:vAlign w:val="bottom"/>
            <w:tcBorders>
              <w:bottom w:val="single" w:sz="8" w:color="2D53A6"/>
            </w:tcBorders>
          </w:tcPr>
          <w:p>
            <w:pPr>
              <w:spacing w:after="0" w:line="202" w:lineRule="exact"/>
              <w:rPr>
                <w:sz w:val="20"/>
                <w:szCs w:val="20"/>
                <w:color w:val="auto"/>
              </w:rPr>
            </w:pPr>
            <w:r>
              <w:rPr>
                <w:rFonts w:ascii="Arial" w:cs="Arial" w:eastAsia="Arial" w:hAnsi="Arial"/>
                <w:sz w:val="18"/>
                <w:szCs w:val="18"/>
                <w:color w:val="auto"/>
              </w:rPr>
              <w:t>Three fiscal years beginning on the first day of 2024</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2D53A6"/>
              <w:right w:val="single" w:sz="8" w:color="2D53A6"/>
            </w:tcBorders>
            <w:shd w:val="clear" w:color="auto" w:fill="E6E6E6"/>
          </w:tcPr>
          <w:p>
            <w:pPr>
              <w:spacing w:after="0" w:line="196" w:lineRule="exact"/>
              <w:rPr>
                <w:sz w:val="20"/>
                <w:szCs w:val="20"/>
                <w:color w:val="auto"/>
              </w:rPr>
            </w:pPr>
            <w:r>
              <w:rPr>
                <w:rFonts w:ascii="Arial" w:cs="Arial" w:eastAsia="Arial" w:hAnsi="Arial"/>
                <w:sz w:val="18"/>
                <w:szCs w:val="18"/>
                <w:color w:val="auto"/>
              </w:rPr>
              <w:t>Performance Measure</w:t>
            </w:r>
          </w:p>
        </w:tc>
        <w:tc>
          <w:tcPr>
            <w:tcW w:w="7140" w:type="dxa"/>
            <w:vAlign w:val="bottom"/>
            <w:tcBorders>
              <w:bottom w:val="single" w:sz="8" w:color="2D53A6"/>
            </w:tcBorders>
            <w:shd w:val="clear" w:color="auto" w:fill="E6E6E6"/>
          </w:tcPr>
          <w:p>
            <w:pPr>
              <w:spacing w:after="0" w:line="196" w:lineRule="exact"/>
              <w:rPr>
                <w:sz w:val="20"/>
                <w:szCs w:val="20"/>
                <w:color w:val="auto"/>
              </w:rPr>
            </w:pPr>
            <w:r>
              <w:rPr>
                <w:rFonts w:ascii="Arial" w:cs="Arial" w:eastAsia="Arial" w:hAnsi="Arial"/>
                <w:sz w:val="18"/>
                <w:szCs w:val="18"/>
                <w:color w:val="auto"/>
              </w:rPr>
              <w:t>TSR performance relative to the Russell 2000 Index (“RUT”)</w:t>
            </w:r>
          </w:p>
        </w:tc>
        <w:tc>
          <w:tcPr>
            <w:tcW w:w="0" w:type="dxa"/>
            <w:vAlign w:val="bottom"/>
          </w:tcPr>
          <w:p>
            <w:pPr>
              <w:spacing w:after="0"/>
              <w:rPr>
                <w:sz w:val="1"/>
                <w:szCs w:val="1"/>
                <w:color w:val="auto"/>
              </w:rPr>
            </w:pPr>
          </w:p>
        </w:tc>
      </w:tr>
      <w:tr>
        <w:trPr>
          <w:trHeight w:val="177"/>
        </w:trPr>
        <w:tc>
          <w:tcPr>
            <w:tcW w:w="410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color w:val="auto"/>
              </w:rPr>
              <w:t>Performance Scale</w:t>
            </w:r>
          </w:p>
        </w:tc>
        <w:tc>
          <w:tcPr>
            <w:tcW w:w="7140" w:type="dxa"/>
            <w:vAlign w:val="bottom"/>
          </w:tcPr>
          <w:p>
            <w:pPr>
              <w:spacing w:after="0" w:line="177" w:lineRule="exact"/>
              <w:rPr>
                <w:sz w:val="20"/>
                <w:szCs w:val="20"/>
                <w:color w:val="auto"/>
              </w:rPr>
            </w:pPr>
            <w:r>
              <w:rPr>
                <w:rFonts w:ascii="Arial" w:cs="Arial" w:eastAsia="Arial" w:hAnsi="Arial"/>
                <w:sz w:val="18"/>
                <w:szCs w:val="18"/>
                <w:color w:val="auto"/>
              </w:rPr>
              <w:t>2x spread between COHU and RUT measured and added or subtracted from target</w:t>
            </w:r>
          </w:p>
        </w:tc>
        <w:tc>
          <w:tcPr>
            <w:tcW w:w="0" w:type="dxa"/>
            <w:vAlign w:val="bottom"/>
          </w:tcPr>
          <w:p>
            <w:pPr>
              <w:spacing w:after="0"/>
              <w:rPr>
                <w:sz w:val="1"/>
                <w:szCs w:val="1"/>
                <w:color w:val="auto"/>
              </w:rPr>
            </w:pPr>
          </w:p>
        </w:tc>
      </w:tr>
      <w:tr>
        <w:trPr>
          <w:trHeight w:val="131"/>
        </w:trPr>
        <w:tc>
          <w:tcPr>
            <w:tcW w:w="4100" w:type="dxa"/>
            <w:vAlign w:val="bottom"/>
            <w:tcBorders>
              <w:right w:val="single" w:sz="8" w:color="2D53A6"/>
            </w:tcBorders>
            <w:vMerge w:val="continue"/>
          </w:tcPr>
          <w:p>
            <w:pPr>
              <w:spacing w:after="0"/>
              <w:rPr>
                <w:sz w:val="11"/>
                <w:szCs w:val="11"/>
                <w:color w:val="auto"/>
              </w:rPr>
            </w:pPr>
          </w:p>
        </w:tc>
        <w:tc>
          <w:tcPr>
            <w:tcW w:w="7140" w:type="dxa"/>
            <w:vAlign w:val="bottom"/>
            <w:vMerge w:val="restart"/>
          </w:tcPr>
          <w:p>
            <w:pPr>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90"/>
        </w:trPr>
        <w:tc>
          <w:tcPr>
            <w:tcW w:w="4100" w:type="dxa"/>
            <w:vAlign w:val="bottom"/>
            <w:tcBorders>
              <w:bottom w:val="single" w:sz="8" w:color="2D53A6"/>
              <w:right w:val="single" w:sz="8" w:color="2D53A6"/>
            </w:tcBorders>
          </w:tcPr>
          <w:p>
            <w:pPr>
              <w:spacing w:after="0"/>
              <w:rPr>
                <w:sz w:val="7"/>
                <w:szCs w:val="7"/>
                <w:color w:val="auto"/>
              </w:rPr>
            </w:pPr>
          </w:p>
        </w:tc>
        <w:tc>
          <w:tcPr>
            <w:tcW w:w="7140" w:type="dxa"/>
            <w:vAlign w:val="bottom"/>
            <w:tcBorders>
              <w:bottom w:val="single" w:sz="8" w:color="2D53A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100" w:type="dxa"/>
            <w:vAlign w:val="bottom"/>
            <w:tcBorders>
              <w:right w:val="single" w:sz="8" w:color="2D53A6"/>
            </w:tcBorders>
            <w:shd w:val="clear" w:color="auto" w:fill="E6E6E6"/>
          </w:tcPr>
          <w:p>
            <w:pPr>
              <w:spacing w:after="0"/>
              <w:rPr>
                <w:sz w:val="15"/>
                <w:szCs w:val="15"/>
                <w:color w:val="auto"/>
              </w:rPr>
            </w:pPr>
          </w:p>
        </w:tc>
        <w:tc>
          <w:tcPr>
            <w:tcW w:w="7140" w:type="dxa"/>
            <w:vAlign w:val="bottom"/>
            <w:shd w:val="clear" w:color="auto" w:fill="E6E6E6"/>
          </w:tcPr>
          <w:p>
            <w:pPr>
              <w:spacing w:after="0" w:line="177" w:lineRule="exact"/>
              <w:rPr>
                <w:sz w:val="20"/>
                <w:szCs w:val="20"/>
                <w:color w:val="auto"/>
              </w:rPr>
            </w:pPr>
            <w:r>
              <w:rPr>
                <w:rFonts w:ascii="Arial" w:cs="Arial" w:eastAsia="Arial" w:hAnsi="Arial"/>
                <w:sz w:val="18"/>
                <w:szCs w:val="18"/>
                <w:color w:val="auto"/>
              </w:rPr>
              <w:t>Net change in average closing price of COHU and RUT over the 20 trading-day period</w:t>
            </w:r>
          </w:p>
        </w:tc>
        <w:tc>
          <w:tcPr>
            <w:tcW w:w="0" w:type="dxa"/>
            <w:vAlign w:val="bottom"/>
          </w:tcPr>
          <w:p>
            <w:pPr>
              <w:spacing w:after="0"/>
              <w:rPr>
                <w:sz w:val="1"/>
                <w:szCs w:val="1"/>
                <w:color w:val="auto"/>
              </w:rPr>
            </w:pPr>
          </w:p>
        </w:tc>
      </w:tr>
      <w:tr>
        <w:trPr>
          <w:trHeight w:val="203"/>
        </w:trPr>
        <w:tc>
          <w:tcPr>
            <w:tcW w:w="4100" w:type="dxa"/>
            <w:vAlign w:val="bottom"/>
            <w:tcBorders>
              <w:right w:val="single" w:sz="8" w:color="2D53A6"/>
            </w:tcBorders>
            <w:vMerge w:val="restart"/>
            <w:shd w:val="clear" w:color="auto" w:fill="E6E6E6"/>
          </w:tcPr>
          <w:p>
            <w:pPr>
              <w:spacing w:after="0"/>
              <w:rPr>
                <w:sz w:val="20"/>
                <w:szCs w:val="20"/>
                <w:color w:val="auto"/>
              </w:rPr>
            </w:pPr>
            <w:r>
              <w:rPr>
                <w:rFonts w:ascii="Arial" w:cs="Arial" w:eastAsia="Arial" w:hAnsi="Arial"/>
                <w:sz w:val="18"/>
                <w:szCs w:val="18"/>
                <w:color w:val="auto"/>
              </w:rPr>
              <w:t>Performance Methodology</w:t>
            </w:r>
          </w:p>
        </w:tc>
        <w:tc>
          <w:tcPr>
            <w:tcW w:w="71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immediately preceding the beginning and end of the Performance Period. In the event</w:t>
            </w:r>
          </w:p>
        </w:tc>
        <w:tc>
          <w:tcPr>
            <w:tcW w:w="0" w:type="dxa"/>
            <w:vAlign w:val="bottom"/>
          </w:tcPr>
          <w:p>
            <w:pPr>
              <w:spacing w:after="0"/>
              <w:rPr>
                <w:sz w:val="1"/>
                <w:szCs w:val="1"/>
                <w:color w:val="auto"/>
              </w:rPr>
            </w:pPr>
          </w:p>
        </w:tc>
      </w:tr>
      <w:tr>
        <w:trPr>
          <w:trHeight w:val="131"/>
        </w:trPr>
        <w:tc>
          <w:tcPr>
            <w:tcW w:w="4100" w:type="dxa"/>
            <w:vAlign w:val="bottom"/>
            <w:tcBorders>
              <w:right w:val="single" w:sz="8" w:color="2D53A6"/>
            </w:tcBorders>
            <w:vMerge w:val="continue"/>
            <w:shd w:val="clear" w:color="auto" w:fill="E6E6E6"/>
          </w:tcPr>
          <w:p>
            <w:pPr>
              <w:spacing w:after="0"/>
              <w:rPr>
                <w:sz w:val="11"/>
                <w:szCs w:val="11"/>
                <w:color w:val="auto"/>
              </w:rPr>
            </w:pPr>
          </w:p>
        </w:tc>
        <w:tc>
          <w:tcPr>
            <w:tcW w:w="7140" w:type="dxa"/>
            <w:vAlign w:val="bottom"/>
            <w:vMerge w:val="restart"/>
            <w:shd w:val="clear" w:color="auto" w:fill="E6E6E6"/>
          </w:tcPr>
          <w:p>
            <w:pPr>
              <w:spacing w:after="0" w:line="202" w:lineRule="exact"/>
              <w:rPr>
                <w:sz w:val="20"/>
                <w:szCs w:val="20"/>
                <w:color w:val="auto"/>
              </w:rPr>
            </w:pPr>
            <w:r>
              <w:rPr>
                <w:rFonts w:ascii="Arial" w:cs="Arial" w:eastAsia="Arial" w:hAnsi="Arial"/>
                <w:sz w:val="18"/>
                <w:szCs w:val="18"/>
                <w:color w:val="auto"/>
              </w:rPr>
              <w:t>that both COHU and RUT TSRs are less than zero, the number of shares earned will not</w:t>
            </w:r>
          </w:p>
        </w:tc>
        <w:tc>
          <w:tcPr>
            <w:tcW w:w="0" w:type="dxa"/>
            <w:vAlign w:val="bottom"/>
          </w:tcPr>
          <w:p>
            <w:pPr>
              <w:spacing w:after="0"/>
              <w:rPr>
                <w:sz w:val="1"/>
                <w:szCs w:val="1"/>
                <w:color w:val="auto"/>
              </w:rPr>
            </w:pPr>
          </w:p>
        </w:tc>
      </w:tr>
      <w:tr>
        <w:trPr>
          <w:trHeight w:val="72"/>
        </w:trPr>
        <w:tc>
          <w:tcPr>
            <w:tcW w:w="4100" w:type="dxa"/>
            <w:vAlign w:val="bottom"/>
            <w:tcBorders>
              <w:right w:val="single" w:sz="8" w:color="2D53A6"/>
            </w:tcBorders>
            <w:shd w:val="clear" w:color="auto" w:fill="E6E6E6"/>
          </w:tcPr>
          <w:p>
            <w:pPr>
              <w:spacing w:after="0"/>
              <w:rPr>
                <w:sz w:val="6"/>
                <w:szCs w:val="6"/>
                <w:color w:val="auto"/>
              </w:rPr>
            </w:pPr>
          </w:p>
        </w:tc>
        <w:tc>
          <w:tcPr>
            <w:tcW w:w="7140" w:type="dxa"/>
            <w:vAlign w:val="bottom"/>
            <w:vMerge w:val="continue"/>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4100" w:type="dxa"/>
            <w:vAlign w:val="bottom"/>
            <w:tcBorders>
              <w:bottom w:val="single" w:sz="8" w:color="2D53A6"/>
              <w:right w:val="single" w:sz="8" w:color="2D53A6"/>
            </w:tcBorders>
            <w:shd w:val="clear" w:color="auto" w:fill="E6E6E6"/>
          </w:tcPr>
          <w:p>
            <w:pPr>
              <w:spacing w:after="0"/>
              <w:rPr>
                <w:sz w:val="19"/>
                <w:szCs w:val="19"/>
                <w:color w:val="auto"/>
              </w:rPr>
            </w:pPr>
          </w:p>
        </w:tc>
        <w:tc>
          <w:tcPr>
            <w:tcW w:w="7140" w:type="dxa"/>
            <w:vAlign w:val="bottom"/>
            <w:tcBorders>
              <w:bottom w:val="single" w:sz="8" w:color="2D53A6"/>
            </w:tcBorders>
            <w:shd w:val="clear" w:color="auto" w:fill="E6E6E6"/>
          </w:tcPr>
          <w:p>
            <w:pPr>
              <w:spacing w:after="0"/>
              <w:rPr>
                <w:sz w:val="20"/>
                <w:szCs w:val="20"/>
                <w:color w:val="auto"/>
              </w:rPr>
            </w:pPr>
            <w:r>
              <w:rPr>
                <w:rFonts w:ascii="Arial" w:cs="Arial" w:eastAsia="Arial" w:hAnsi="Arial"/>
                <w:sz w:val="18"/>
                <w:szCs w:val="18"/>
                <w:color w:val="auto"/>
              </w:rPr>
              <w:t>exceed 100% of target.</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2D53A6"/>
              <w:right w:val="single" w:sz="8" w:color="2D53A6"/>
            </w:tcBorders>
          </w:tcPr>
          <w:p>
            <w:pPr>
              <w:spacing w:after="0" w:line="196" w:lineRule="exact"/>
              <w:rPr>
                <w:sz w:val="20"/>
                <w:szCs w:val="20"/>
                <w:color w:val="auto"/>
              </w:rPr>
            </w:pPr>
            <w:r>
              <w:rPr>
                <w:rFonts w:ascii="Arial" w:cs="Arial" w:eastAsia="Arial" w:hAnsi="Arial"/>
                <w:sz w:val="18"/>
                <w:szCs w:val="18"/>
                <w:color w:val="auto"/>
              </w:rPr>
              <w:t>Range of PSUs Earnable</w:t>
            </w:r>
          </w:p>
        </w:tc>
        <w:tc>
          <w:tcPr>
            <w:tcW w:w="7140" w:type="dxa"/>
            <w:vAlign w:val="bottom"/>
            <w:tcBorders>
              <w:bottom w:val="single" w:sz="8" w:color="2D53A6"/>
            </w:tcBorders>
          </w:tcPr>
          <w:p>
            <w:pPr>
              <w:spacing w:after="0" w:line="196" w:lineRule="exact"/>
              <w:rPr>
                <w:sz w:val="20"/>
                <w:szCs w:val="20"/>
                <w:color w:val="auto"/>
              </w:rPr>
            </w:pPr>
            <w:r>
              <w:rPr>
                <w:rFonts w:ascii="Arial" w:cs="Arial" w:eastAsia="Arial" w:hAnsi="Arial"/>
                <w:sz w:val="18"/>
                <w:szCs w:val="18"/>
                <w:color w:val="auto"/>
              </w:rPr>
              <w:t>0-200% of number of shares granted</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2D53A6"/>
              <w:right w:val="single" w:sz="8" w:color="2D53A6"/>
            </w:tcBorders>
            <w:shd w:val="clear" w:color="auto" w:fill="E6E6E6"/>
          </w:tcPr>
          <w:p>
            <w:pPr>
              <w:spacing w:after="0" w:line="196" w:lineRule="exact"/>
              <w:rPr>
                <w:sz w:val="20"/>
                <w:szCs w:val="20"/>
                <w:color w:val="auto"/>
              </w:rPr>
            </w:pPr>
            <w:r>
              <w:rPr>
                <w:rFonts w:ascii="Arial" w:cs="Arial" w:eastAsia="Arial" w:hAnsi="Arial"/>
                <w:sz w:val="18"/>
                <w:szCs w:val="18"/>
                <w:color w:val="auto"/>
              </w:rPr>
              <w:t>Vesting Period</w:t>
            </w:r>
          </w:p>
        </w:tc>
        <w:tc>
          <w:tcPr>
            <w:tcW w:w="7140" w:type="dxa"/>
            <w:vAlign w:val="bottom"/>
            <w:tcBorders>
              <w:bottom w:val="single" w:sz="8" w:color="2D53A6"/>
            </w:tcBorders>
            <w:shd w:val="clear" w:color="auto" w:fill="E6E6E6"/>
          </w:tcPr>
          <w:p>
            <w:pPr>
              <w:spacing w:after="0" w:line="196" w:lineRule="exact"/>
              <w:rPr>
                <w:sz w:val="20"/>
                <w:szCs w:val="20"/>
                <w:color w:val="auto"/>
              </w:rPr>
            </w:pPr>
            <w:r>
              <w:rPr>
                <w:rFonts w:ascii="Arial" w:cs="Arial" w:eastAsia="Arial" w:hAnsi="Arial"/>
                <w:sz w:val="18"/>
                <w:szCs w:val="18"/>
                <w:color w:val="auto"/>
              </w:rPr>
              <w:t>100% on third anniversary of the date of the grant</w:t>
            </w:r>
          </w:p>
        </w:tc>
        <w:tc>
          <w:tcPr>
            <w:tcW w:w="0" w:type="dxa"/>
            <w:vAlign w:val="bottom"/>
          </w:tcPr>
          <w:p>
            <w:pPr>
              <w:spacing w:after="0"/>
              <w:rPr>
                <w:sz w:val="1"/>
                <w:szCs w:val="1"/>
                <w:color w:val="auto"/>
              </w:rPr>
            </w:pPr>
          </w:p>
        </w:tc>
      </w:tr>
      <w:tr>
        <w:trPr>
          <w:trHeight w:val="416"/>
        </w:trPr>
        <w:tc>
          <w:tcPr>
            <w:tcW w:w="4100" w:type="dxa"/>
            <w:vAlign w:val="bottom"/>
          </w:tcPr>
          <w:p>
            <w:pPr>
              <w:spacing w:after="0"/>
              <w:rPr>
                <w:sz w:val="24"/>
                <w:szCs w:val="24"/>
                <w:color w:val="auto"/>
              </w:rPr>
            </w:pPr>
          </w:p>
        </w:tc>
        <w:tc>
          <w:tcPr>
            <w:tcW w:w="7140" w:type="dxa"/>
            <w:vAlign w:val="bottom"/>
          </w:tcPr>
          <w:p>
            <w:pPr>
              <w:ind w:left="14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98"/>
        </w:trPr>
        <w:tc>
          <w:tcPr>
            <w:tcW w:w="4100" w:type="dxa"/>
            <w:vAlign w:val="bottom"/>
            <w:tcBorders>
              <w:bottom w:val="single" w:sz="8" w:color="auto"/>
            </w:tcBorders>
          </w:tcPr>
          <w:p>
            <w:pPr>
              <w:spacing w:after="0"/>
              <w:rPr>
                <w:sz w:val="8"/>
                <w:szCs w:val="8"/>
                <w:color w:val="auto"/>
              </w:rPr>
            </w:pPr>
          </w:p>
        </w:tc>
        <w:tc>
          <w:tcPr>
            <w:tcW w:w="7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2022 PSU Award Results</w:t>
      </w:r>
    </w:p>
    <w:p>
      <w:pPr>
        <w:spacing w:after="0" w:line="19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2022 PSU awards had a three-year performance period after which the number of shares of our common stock earned was determined based on calculating two times the spread between the percentage increase or decrease in the COHU and RUT measured and added or subtracted from the target of 100%. The spread was measured as the net change in average closing market prices of COHU and RUT over the 20 trading-day period immediately preceding both December 26, 2021 (the beginning of the Performance Period) and December 28, 2024 (the end of the Performance Period).</w:t>
      </w:r>
    </w:p>
    <w:p>
      <w:pPr>
        <w:spacing w:after="0" w:line="4"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Following the end of 2024, the Compensation Committee compared our actual performance with respect to the RUT and the TSR result for the years 2022 through 2024 which was calculated to be 29.9% and, therefore, the number of shares of our common stock earned under the 2022 PSU awards was 40.3% of the target number of shares granted to each executive officer.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our common stock earned by our NEOs with respect to their 2022 PSU awards was: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80" w:type="dxa"/>
            <w:vAlign w:val="bottom"/>
            <w:tcBorders>
              <w:right w:val="single" w:sz="8" w:color="2D53A6"/>
            </w:tcBorders>
            <w:shd w:val="clear" w:color="auto" w:fill="2D53A6"/>
          </w:tcPr>
          <w:p>
            <w:pPr>
              <w:spacing w:after="0"/>
              <w:rPr>
                <w:sz w:val="20"/>
                <w:szCs w:val="20"/>
                <w:color w:val="auto"/>
              </w:rPr>
            </w:pPr>
          </w:p>
        </w:tc>
        <w:tc>
          <w:tcPr>
            <w:tcW w:w="20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Performance</w:t>
            </w:r>
          </w:p>
        </w:tc>
        <w:tc>
          <w:tcPr>
            <w:tcW w:w="2040" w:type="dxa"/>
            <w:vAlign w:val="bottom"/>
            <w:tcBorders>
              <w:right w:val="single" w:sz="8" w:color="2D53A6"/>
            </w:tcBorders>
            <w:shd w:val="clear" w:color="auto" w:fill="2D53A6"/>
          </w:tcPr>
          <w:p>
            <w:pPr>
              <w:spacing w:after="0"/>
              <w:rPr>
                <w:sz w:val="20"/>
                <w:szCs w:val="20"/>
                <w:color w:val="auto"/>
              </w:rPr>
            </w:pPr>
          </w:p>
        </w:tc>
        <w:tc>
          <w:tcPr>
            <w:tcW w:w="2000" w:type="dxa"/>
            <w:vAlign w:val="bottom"/>
            <w:tcBorders>
              <w:right w:val="single" w:sz="8" w:color="2D53A6"/>
            </w:tcBorders>
            <w:shd w:val="clear" w:color="auto" w:fill="2D53A6"/>
          </w:tcPr>
          <w:p>
            <w:pPr>
              <w:spacing w:after="0"/>
              <w:rPr>
                <w:sz w:val="20"/>
                <w:szCs w:val="20"/>
                <w:color w:val="auto"/>
              </w:rPr>
            </w:pPr>
          </w:p>
        </w:tc>
        <w:tc>
          <w:tcPr>
            <w:tcW w:w="2000" w:type="dxa"/>
            <w:vAlign w:val="bottom"/>
            <w:shd w:val="clear" w:color="auto" w:fill="2D53A6"/>
          </w:tcPr>
          <w:p>
            <w:pPr>
              <w:jc w:val="center"/>
              <w:spacing w:after="0"/>
              <w:rPr>
                <w:sz w:val="20"/>
                <w:szCs w:val="20"/>
                <w:color w:val="auto"/>
              </w:rPr>
            </w:pPr>
            <w:r>
              <w:rPr>
                <w:rFonts w:ascii="Arial" w:cs="Arial" w:eastAsia="Arial" w:hAnsi="Arial"/>
                <w:sz w:val="20"/>
                <w:szCs w:val="20"/>
                <w:b w:val="1"/>
                <w:bCs w:val="1"/>
                <w:color w:val="FFFFFF"/>
                <w:w w:val="97"/>
              </w:rPr>
              <w:t>Final Shares</w:t>
            </w:r>
          </w:p>
        </w:tc>
        <w:tc>
          <w:tcPr>
            <w:tcW w:w="0" w:type="dxa"/>
            <w:vAlign w:val="bottom"/>
          </w:tcPr>
          <w:p>
            <w:pPr>
              <w:spacing w:after="0"/>
              <w:rPr>
                <w:sz w:val="1"/>
                <w:szCs w:val="1"/>
                <w:color w:val="auto"/>
              </w:rPr>
            </w:pPr>
          </w:p>
        </w:tc>
      </w:tr>
      <w:tr>
        <w:trPr>
          <w:trHeight w:val="108"/>
        </w:trPr>
        <w:tc>
          <w:tcPr>
            <w:tcW w:w="3180" w:type="dxa"/>
            <w:vAlign w:val="bottom"/>
            <w:tcBorders>
              <w:right w:val="single" w:sz="8" w:color="2D53A6"/>
            </w:tcBorders>
            <w:shd w:val="clear" w:color="auto" w:fill="2D53A6"/>
          </w:tcPr>
          <w:p>
            <w:pPr>
              <w:spacing w:after="0"/>
              <w:rPr>
                <w:sz w:val="9"/>
                <w:szCs w:val="9"/>
                <w:color w:val="auto"/>
              </w:rPr>
            </w:pPr>
          </w:p>
        </w:tc>
        <w:tc>
          <w:tcPr>
            <w:tcW w:w="2020" w:type="dxa"/>
            <w:vAlign w:val="bottom"/>
            <w:tcBorders>
              <w:right w:val="single" w:sz="8" w:color="2D53A6"/>
            </w:tcBorders>
            <w:vMerge w:val="continue"/>
            <w:shd w:val="clear" w:color="auto" w:fill="2D53A6"/>
          </w:tcPr>
          <w:p>
            <w:pPr>
              <w:spacing w:after="0"/>
              <w:rPr>
                <w:sz w:val="9"/>
                <w:szCs w:val="9"/>
                <w:color w:val="auto"/>
              </w:rPr>
            </w:pPr>
          </w:p>
        </w:tc>
        <w:tc>
          <w:tcPr>
            <w:tcW w:w="2040" w:type="dxa"/>
            <w:vAlign w:val="bottom"/>
            <w:tcBorders>
              <w:right w:val="single" w:sz="8" w:color="2D53A6"/>
            </w:tcBorders>
            <w:shd w:val="clear" w:color="auto" w:fill="2D53A6"/>
          </w:tcPr>
          <w:p>
            <w:pPr>
              <w:spacing w:after="0"/>
              <w:rPr>
                <w:sz w:val="9"/>
                <w:szCs w:val="9"/>
                <w:color w:val="auto"/>
              </w:rPr>
            </w:pPr>
          </w:p>
        </w:tc>
        <w:tc>
          <w:tcPr>
            <w:tcW w:w="2000" w:type="dxa"/>
            <w:vAlign w:val="bottom"/>
            <w:tcBorders>
              <w:right w:val="single" w:sz="8" w:color="2D53A6"/>
            </w:tcBorders>
            <w:shd w:val="clear" w:color="auto" w:fill="2D53A6"/>
          </w:tcPr>
          <w:p>
            <w:pPr>
              <w:spacing w:after="0"/>
              <w:rPr>
                <w:sz w:val="9"/>
                <w:szCs w:val="9"/>
                <w:color w:val="auto"/>
              </w:rPr>
            </w:pPr>
          </w:p>
        </w:tc>
        <w:tc>
          <w:tcPr>
            <w:tcW w:w="2000" w:type="dxa"/>
            <w:vAlign w:val="bottom"/>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9"/>
              </w:rPr>
              <w:t>Earned as a</w:t>
            </w:r>
          </w:p>
        </w:tc>
        <w:tc>
          <w:tcPr>
            <w:tcW w:w="0" w:type="dxa"/>
            <w:vAlign w:val="bottom"/>
          </w:tcPr>
          <w:p>
            <w:pPr>
              <w:spacing w:after="0"/>
              <w:rPr>
                <w:sz w:val="1"/>
                <w:szCs w:val="1"/>
                <w:color w:val="auto"/>
              </w:rPr>
            </w:pPr>
          </w:p>
        </w:tc>
      </w:tr>
      <w:tr>
        <w:trPr>
          <w:trHeight w:val="108"/>
        </w:trPr>
        <w:tc>
          <w:tcPr>
            <w:tcW w:w="3180" w:type="dxa"/>
            <w:vAlign w:val="bottom"/>
            <w:tcBorders>
              <w:right w:val="single" w:sz="8" w:color="2D53A6"/>
            </w:tcBorders>
            <w:shd w:val="clear" w:color="auto" w:fill="2D53A6"/>
          </w:tcPr>
          <w:p>
            <w:pPr>
              <w:spacing w:after="0"/>
              <w:rPr>
                <w:sz w:val="9"/>
                <w:szCs w:val="9"/>
                <w:color w:val="auto"/>
              </w:rPr>
            </w:pPr>
          </w:p>
        </w:tc>
        <w:tc>
          <w:tcPr>
            <w:tcW w:w="2020" w:type="dxa"/>
            <w:vAlign w:val="bottom"/>
            <w:tcBorders>
              <w:right w:val="single" w:sz="8" w:color="2D53A6"/>
            </w:tcBorders>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9"/>
              </w:rPr>
              <w:t>Stock Unit Award</w:t>
            </w:r>
          </w:p>
        </w:tc>
        <w:tc>
          <w:tcPr>
            <w:tcW w:w="2040" w:type="dxa"/>
            <w:vAlign w:val="bottom"/>
            <w:tcBorders>
              <w:right w:val="single" w:sz="8" w:color="2D53A6"/>
            </w:tcBorders>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9"/>
              </w:rPr>
              <w:t>2022-24 TSR</w:t>
            </w:r>
          </w:p>
        </w:tc>
        <w:tc>
          <w:tcPr>
            <w:tcW w:w="2000" w:type="dxa"/>
            <w:vAlign w:val="bottom"/>
            <w:tcBorders>
              <w:right w:val="single" w:sz="8" w:color="2D53A6"/>
            </w:tcBorders>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9"/>
              </w:rPr>
              <w:t>Final Shares</w:t>
            </w:r>
          </w:p>
        </w:tc>
        <w:tc>
          <w:tcPr>
            <w:tcW w:w="200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80" w:type="dxa"/>
            <w:vAlign w:val="bottom"/>
            <w:tcBorders>
              <w:right w:val="single" w:sz="8" w:color="2D53A6"/>
            </w:tcBorders>
            <w:vMerge w:val="restart"/>
            <w:shd w:val="clear" w:color="auto" w:fill="2D53A6"/>
          </w:tcPr>
          <w:p>
            <w:pPr>
              <w:ind w:left="40"/>
              <w:spacing w:after="0" w:line="216" w:lineRule="exact"/>
              <w:rPr>
                <w:sz w:val="20"/>
                <w:szCs w:val="20"/>
                <w:color w:val="auto"/>
              </w:rPr>
            </w:pPr>
            <w:r>
              <w:rPr>
                <w:rFonts w:ascii="Arial" w:cs="Arial" w:eastAsia="Arial" w:hAnsi="Arial"/>
                <w:sz w:val="20"/>
                <w:szCs w:val="20"/>
                <w:b w:val="1"/>
                <w:bCs w:val="1"/>
                <w:color w:val="FFFFFF"/>
              </w:rPr>
              <w:t>Named Executive Officer</w:t>
            </w:r>
          </w:p>
        </w:tc>
        <w:tc>
          <w:tcPr>
            <w:tcW w:w="2020" w:type="dxa"/>
            <w:vAlign w:val="bottom"/>
            <w:tcBorders>
              <w:right w:val="single" w:sz="8" w:color="2D53A6"/>
            </w:tcBorders>
            <w:vMerge w:val="continue"/>
            <w:shd w:val="clear" w:color="auto" w:fill="2D53A6"/>
          </w:tcPr>
          <w:p>
            <w:pPr>
              <w:spacing w:after="0"/>
              <w:rPr>
                <w:sz w:val="9"/>
                <w:szCs w:val="9"/>
                <w:color w:val="auto"/>
              </w:rPr>
            </w:pPr>
          </w:p>
        </w:tc>
        <w:tc>
          <w:tcPr>
            <w:tcW w:w="2040" w:type="dxa"/>
            <w:vAlign w:val="bottom"/>
            <w:tcBorders>
              <w:right w:val="single" w:sz="8" w:color="2D53A6"/>
            </w:tcBorders>
            <w:vMerge w:val="continue"/>
            <w:shd w:val="clear" w:color="auto" w:fill="2D53A6"/>
          </w:tcPr>
          <w:p>
            <w:pPr>
              <w:spacing w:after="0"/>
              <w:rPr>
                <w:sz w:val="9"/>
                <w:szCs w:val="9"/>
                <w:color w:val="auto"/>
              </w:rPr>
            </w:pPr>
          </w:p>
        </w:tc>
        <w:tc>
          <w:tcPr>
            <w:tcW w:w="2000" w:type="dxa"/>
            <w:vAlign w:val="bottom"/>
            <w:tcBorders>
              <w:right w:val="single" w:sz="8" w:color="2D53A6"/>
            </w:tcBorders>
            <w:vMerge w:val="continue"/>
            <w:shd w:val="clear" w:color="auto" w:fill="2D53A6"/>
          </w:tcPr>
          <w:p>
            <w:pPr>
              <w:spacing w:after="0"/>
              <w:rPr>
                <w:sz w:val="9"/>
                <w:szCs w:val="9"/>
                <w:color w:val="auto"/>
              </w:rPr>
            </w:pPr>
          </w:p>
        </w:tc>
        <w:tc>
          <w:tcPr>
            <w:tcW w:w="2000" w:type="dxa"/>
            <w:vAlign w:val="bottom"/>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9"/>
              </w:rPr>
              <w:t>Percentage of</w:t>
            </w:r>
          </w:p>
        </w:tc>
        <w:tc>
          <w:tcPr>
            <w:tcW w:w="0" w:type="dxa"/>
            <w:vAlign w:val="bottom"/>
          </w:tcPr>
          <w:p>
            <w:pPr>
              <w:spacing w:after="0"/>
              <w:rPr>
                <w:sz w:val="1"/>
                <w:szCs w:val="1"/>
                <w:color w:val="auto"/>
              </w:rPr>
            </w:pPr>
          </w:p>
        </w:tc>
      </w:tr>
      <w:tr>
        <w:trPr>
          <w:trHeight w:val="108"/>
        </w:trPr>
        <w:tc>
          <w:tcPr>
            <w:tcW w:w="3180" w:type="dxa"/>
            <w:vAlign w:val="bottom"/>
            <w:tcBorders>
              <w:right w:val="single" w:sz="8" w:color="2D53A6"/>
            </w:tcBorders>
            <w:vMerge w:val="continue"/>
            <w:shd w:val="clear" w:color="auto" w:fill="2D53A6"/>
          </w:tcPr>
          <w:p>
            <w:pPr>
              <w:spacing w:after="0"/>
              <w:rPr>
                <w:sz w:val="9"/>
                <w:szCs w:val="9"/>
                <w:color w:val="auto"/>
              </w:rPr>
            </w:pPr>
          </w:p>
        </w:tc>
        <w:tc>
          <w:tcPr>
            <w:tcW w:w="2020" w:type="dxa"/>
            <w:vAlign w:val="bottom"/>
            <w:tcBorders>
              <w:right w:val="single" w:sz="8" w:color="2D53A6"/>
            </w:tcBorders>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8"/>
              </w:rPr>
              <w:t>(Target Number</w:t>
            </w:r>
          </w:p>
        </w:tc>
        <w:tc>
          <w:tcPr>
            <w:tcW w:w="2040" w:type="dxa"/>
            <w:vAlign w:val="bottom"/>
            <w:tcBorders>
              <w:right w:val="single" w:sz="8" w:color="2D53A6"/>
            </w:tcBorders>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9"/>
              </w:rPr>
              <w:t xml:space="preserve">Result </w:t>
            </w:r>
            <w:r>
              <w:rPr>
                <w:rFonts w:ascii="Arial" w:cs="Arial" w:eastAsia="Arial" w:hAnsi="Arial"/>
                <w:sz w:val="16"/>
                <w:szCs w:val="16"/>
                <w:b w:val="1"/>
                <w:bCs w:val="1"/>
                <w:color w:val="FFFFFF"/>
                <w:w w:val="99"/>
              </w:rPr>
              <w:t>(1)</w:t>
            </w:r>
          </w:p>
        </w:tc>
        <w:tc>
          <w:tcPr>
            <w:tcW w:w="2000" w:type="dxa"/>
            <w:vAlign w:val="bottom"/>
            <w:tcBorders>
              <w:right w:val="single" w:sz="8" w:color="2D53A6"/>
            </w:tcBorders>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7"/>
              </w:rPr>
              <w:t>Earned</w:t>
            </w:r>
          </w:p>
        </w:tc>
        <w:tc>
          <w:tcPr>
            <w:tcW w:w="200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80" w:type="dxa"/>
            <w:vAlign w:val="bottom"/>
            <w:tcBorders>
              <w:right w:val="single" w:sz="8" w:color="2D53A6"/>
            </w:tcBorders>
            <w:shd w:val="clear" w:color="auto" w:fill="2D53A6"/>
          </w:tcPr>
          <w:p>
            <w:pPr>
              <w:spacing w:after="0"/>
              <w:rPr>
                <w:sz w:val="9"/>
                <w:szCs w:val="9"/>
                <w:color w:val="auto"/>
              </w:rPr>
            </w:pPr>
          </w:p>
        </w:tc>
        <w:tc>
          <w:tcPr>
            <w:tcW w:w="2020" w:type="dxa"/>
            <w:vAlign w:val="bottom"/>
            <w:tcBorders>
              <w:right w:val="single" w:sz="8" w:color="2D53A6"/>
            </w:tcBorders>
            <w:vMerge w:val="continue"/>
            <w:shd w:val="clear" w:color="auto" w:fill="2D53A6"/>
          </w:tcPr>
          <w:p>
            <w:pPr>
              <w:spacing w:after="0"/>
              <w:rPr>
                <w:sz w:val="9"/>
                <w:szCs w:val="9"/>
                <w:color w:val="auto"/>
              </w:rPr>
            </w:pPr>
          </w:p>
        </w:tc>
        <w:tc>
          <w:tcPr>
            <w:tcW w:w="2040" w:type="dxa"/>
            <w:vAlign w:val="bottom"/>
            <w:tcBorders>
              <w:right w:val="single" w:sz="8" w:color="2D53A6"/>
            </w:tcBorders>
            <w:vMerge w:val="continue"/>
            <w:shd w:val="clear" w:color="auto" w:fill="2D53A6"/>
          </w:tcPr>
          <w:p>
            <w:pPr>
              <w:spacing w:after="0"/>
              <w:rPr>
                <w:sz w:val="9"/>
                <w:szCs w:val="9"/>
                <w:color w:val="auto"/>
              </w:rPr>
            </w:pPr>
          </w:p>
        </w:tc>
        <w:tc>
          <w:tcPr>
            <w:tcW w:w="2000" w:type="dxa"/>
            <w:vAlign w:val="bottom"/>
            <w:tcBorders>
              <w:right w:val="single" w:sz="8" w:color="2D53A6"/>
            </w:tcBorders>
            <w:vMerge w:val="continue"/>
            <w:shd w:val="clear" w:color="auto" w:fill="2D53A6"/>
          </w:tcPr>
          <w:p>
            <w:pPr>
              <w:spacing w:after="0"/>
              <w:rPr>
                <w:sz w:val="9"/>
                <w:szCs w:val="9"/>
                <w:color w:val="auto"/>
              </w:rPr>
            </w:pPr>
          </w:p>
        </w:tc>
        <w:tc>
          <w:tcPr>
            <w:tcW w:w="2000" w:type="dxa"/>
            <w:vAlign w:val="bottom"/>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8"/>
              </w:rPr>
              <w:t>Target Number of</w:t>
            </w:r>
          </w:p>
        </w:tc>
        <w:tc>
          <w:tcPr>
            <w:tcW w:w="0" w:type="dxa"/>
            <w:vAlign w:val="bottom"/>
          </w:tcPr>
          <w:p>
            <w:pPr>
              <w:spacing w:after="0"/>
              <w:rPr>
                <w:sz w:val="1"/>
                <w:szCs w:val="1"/>
                <w:color w:val="auto"/>
              </w:rPr>
            </w:pPr>
          </w:p>
        </w:tc>
      </w:tr>
      <w:tr>
        <w:trPr>
          <w:trHeight w:val="108"/>
        </w:trPr>
        <w:tc>
          <w:tcPr>
            <w:tcW w:w="3180" w:type="dxa"/>
            <w:vAlign w:val="bottom"/>
            <w:tcBorders>
              <w:right w:val="single" w:sz="8" w:color="2D53A6"/>
            </w:tcBorders>
            <w:shd w:val="clear" w:color="auto" w:fill="2D53A6"/>
          </w:tcPr>
          <w:p>
            <w:pPr>
              <w:spacing w:after="0"/>
              <w:rPr>
                <w:sz w:val="9"/>
                <w:szCs w:val="9"/>
                <w:color w:val="auto"/>
              </w:rPr>
            </w:pPr>
          </w:p>
        </w:tc>
        <w:tc>
          <w:tcPr>
            <w:tcW w:w="20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20"/>
                <w:szCs w:val="20"/>
                <w:b w:val="1"/>
                <w:bCs w:val="1"/>
                <w:color w:val="FFFFFF"/>
              </w:rPr>
              <w:t>of Shares)</w:t>
            </w:r>
          </w:p>
        </w:tc>
        <w:tc>
          <w:tcPr>
            <w:tcW w:w="2040" w:type="dxa"/>
            <w:vAlign w:val="bottom"/>
            <w:tcBorders>
              <w:right w:val="single" w:sz="8" w:color="2D53A6"/>
            </w:tcBorders>
            <w:shd w:val="clear" w:color="auto" w:fill="2D53A6"/>
          </w:tcPr>
          <w:p>
            <w:pPr>
              <w:spacing w:after="0"/>
              <w:rPr>
                <w:sz w:val="9"/>
                <w:szCs w:val="9"/>
                <w:color w:val="auto"/>
              </w:rPr>
            </w:pPr>
          </w:p>
        </w:tc>
        <w:tc>
          <w:tcPr>
            <w:tcW w:w="2000" w:type="dxa"/>
            <w:vAlign w:val="bottom"/>
            <w:tcBorders>
              <w:right w:val="single" w:sz="8" w:color="2D53A6"/>
            </w:tcBorders>
            <w:shd w:val="clear" w:color="auto" w:fill="2D53A6"/>
          </w:tcPr>
          <w:p>
            <w:pPr>
              <w:spacing w:after="0"/>
              <w:rPr>
                <w:sz w:val="9"/>
                <w:szCs w:val="9"/>
                <w:color w:val="auto"/>
              </w:rPr>
            </w:pPr>
          </w:p>
        </w:tc>
        <w:tc>
          <w:tcPr>
            <w:tcW w:w="200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180" w:type="dxa"/>
            <w:vAlign w:val="bottom"/>
            <w:tcBorders>
              <w:right w:val="single" w:sz="8" w:color="2D53A6"/>
            </w:tcBorders>
            <w:shd w:val="clear" w:color="auto" w:fill="2D53A6"/>
          </w:tcPr>
          <w:p>
            <w:pPr>
              <w:spacing w:after="0"/>
              <w:rPr>
                <w:sz w:val="14"/>
                <w:szCs w:val="14"/>
                <w:color w:val="auto"/>
              </w:rPr>
            </w:pPr>
          </w:p>
        </w:tc>
        <w:tc>
          <w:tcPr>
            <w:tcW w:w="2020" w:type="dxa"/>
            <w:vAlign w:val="bottom"/>
            <w:tcBorders>
              <w:right w:val="single" w:sz="8" w:color="2D53A6"/>
            </w:tcBorders>
            <w:vMerge w:val="continue"/>
            <w:shd w:val="clear" w:color="auto" w:fill="2D53A6"/>
          </w:tcPr>
          <w:p>
            <w:pPr>
              <w:spacing w:after="0"/>
              <w:rPr>
                <w:sz w:val="14"/>
                <w:szCs w:val="14"/>
                <w:color w:val="auto"/>
              </w:rPr>
            </w:pPr>
          </w:p>
        </w:tc>
        <w:tc>
          <w:tcPr>
            <w:tcW w:w="2040" w:type="dxa"/>
            <w:vAlign w:val="bottom"/>
            <w:tcBorders>
              <w:right w:val="single" w:sz="8" w:color="2D53A6"/>
            </w:tcBorders>
            <w:shd w:val="clear" w:color="auto" w:fill="2D53A6"/>
          </w:tcPr>
          <w:p>
            <w:pPr>
              <w:spacing w:after="0"/>
              <w:rPr>
                <w:sz w:val="14"/>
                <w:szCs w:val="14"/>
                <w:color w:val="auto"/>
              </w:rPr>
            </w:pPr>
          </w:p>
        </w:tc>
        <w:tc>
          <w:tcPr>
            <w:tcW w:w="2000" w:type="dxa"/>
            <w:vAlign w:val="bottom"/>
            <w:tcBorders>
              <w:right w:val="single" w:sz="8" w:color="2D53A6"/>
            </w:tcBorders>
            <w:shd w:val="clear" w:color="auto" w:fill="2D53A6"/>
          </w:tcPr>
          <w:p>
            <w:pPr>
              <w:spacing w:after="0"/>
              <w:rPr>
                <w:sz w:val="14"/>
                <w:szCs w:val="14"/>
                <w:color w:val="auto"/>
              </w:rPr>
            </w:pPr>
          </w:p>
        </w:tc>
        <w:tc>
          <w:tcPr>
            <w:tcW w:w="2000" w:type="dxa"/>
            <w:vAlign w:val="bottom"/>
            <w:vMerge w:val="restart"/>
            <w:shd w:val="clear" w:color="auto" w:fill="2D53A6"/>
          </w:tcPr>
          <w:p>
            <w:pPr>
              <w:jc w:val="center"/>
              <w:spacing w:after="0"/>
              <w:rPr>
                <w:sz w:val="20"/>
                <w:szCs w:val="20"/>
                <w:color w:val="auto"/>
              </w:rPr>
            </w:pPr>
            <w:r>
              <w:rPr>
                <w:rFonts w:ascii="Arial" w:cs="Arial" w:eastAsia="Arial" w:hAnsi="Arial"/>
                <w:sz w:val="20"/>
                <w:szCs w:val="20"/>
                <w:b w:val="1"/>
                <w:bCs w:val="1"/>
                <w:color w:val="FFFFFF"/>
              </w:rPr>
              <w:t xml:space="preserve">Shares </w:t>
            </w:r>
            <w:r>
              <w:rPr>
                <w:rFonts w:ascii="Arial" w:cs="Arial" w:eastAsia="Arial" w:hAnsi="Arial"/>
                <w:sz w:val="16"/>
                <w:szCs w:val="16"/>
                <w:b w:val="1"/>
                <w:bCs w:val="1"/>
                <w:color w:val="FFFFFF"/>
              </w:rPr>
              <w:t>(2)</w:t>
            </w:r>
          </w:p>
        </w:tc>
        <w:tc>
          <w:tcPr>
            <w:tcW w:w="0" w:type="dxa"/>
            <w:vAlign w:val="bottom"/>
          </w:tcPr>
          <w:p>
            <w:pPr>
              <w:spacing w:after="0"/>
              <w:rPr>
                <w:sz w:val="1"/>
                <w:szCs w:val="1"/>
                <w:color w:val="auto"/>
              </w:rPr>
            </w:pPr>
          </w:p>
        </w:tc>
      </w:tr>
      <w:tr>
        <w:trPr>
          <w:trHeight w:val="108"/>
        </w:trPr>
        <w:tc>
          <w:tcPr>
            <w:tcW w:w="3180" w:type="dxa"/>
            <w:vAlign w:val="bottom"/>
            <w:tcBorders>
              <w:bottom w:val="single" w:sz="8" w:color="2D53A6"/>
              <w:right w:val="single" w:sz="8" w:color="2D53A6"/>
            </w:tcBorders>
            <w:shd w:val="clear" w:color="auto" w:fill="2D53A6"/>
          </w:tcPr>
          <w:p>
            <w:pPr>
              <w:spacing w:after="0"/>
              <w:rPr>
                <w:sz w:val="9"/>
                <w:szCs w:val="9"/>
                <w:color w:val="auto"/>
              </w:rPr>
            </w:pPr>
          </w:p>
        </w:tc>
        <w:tc>
          <w:tcPr>
            <w:tcW w:w="2020" w:type="dxa"/>
            <w:vAlign w:val="bottom"/>
            <w:tcBorders>
              <w:bottom w:val="single" w:sz="8" w:color="2D53A6"/>
              <w:right w:val="single" w:sz="8" w:color="2D53A6"/>
            </w:tcBorders>
            <w:shd w:val="clear" w:color="auto" w:fill="2D53A6"/>
          </w:tcPr>
          <w:p>
            <w:pPr>
              <w:spacing w:after="0"/>
              <w:rPr>
                <w:sz w:val="9"/>
                <w:szCs w:val="9"/>
                <w:color w:val="auto"/>
              </w:rPr>
            </w:pPr>
          </w:p>
        </w:tc>
        <w:tc>
          <w:tcPr>
            <w:tcW w:w="2040" w:type="dxa"/>
            <w:vAlign w:val="bottom"/>
            <w:tcBorders>
              <w:bottom w:val="single" w:sz="8" w:color="2D53A6"/>
              <w:right w:val="single" w:sz="8" w:color="2D53A6"/>
            </w:tcBorders>
            <w:shd w:val="clear" w:color="auto" w:fill="2D53A6"/>
          </w:tcPr>
          <w:p>
            <w:pPr>
              <w:spacing w:after="0"/>
              <w:rPr>
                <w:sz w:val="9"/>
                <w:szCs w:val="9"/>
                <w:color w:val="auto"/>
              </w:rPr>
            </w:pPr>
          </w:p>
        </w:tc>
        <w:tc>
          <w:tcPr>
            <w:tcW w:w="2000" w:type="dxa"/>
            <w:vAlign w:val="bottom"/>
            <w:tcBorders>
              <w:bottom w:val="single" w:sz="8" w:color="2D53A6"/>
              <w:right w:val="single" w:sz="8" w:color="2D53A6"/>
            </w:tcBorders>
            <w:shd w:val="clear" w:color="auto" w:fill="2D53A6"/>
          </w:tcPr>
          <w:p>
            <w:pPr>
              <w:spacing w:after="0"/>
              <w:rPr>
                <w:sz w:val="9"/>
                <w:szCs w:val="9"/>
                <w:color w:val="auto"/>
              </w:rPr>
            </w:pPr>
          </w:p>
        </w:tc>
        <w:tc>
          <w:tcPr>
            <w:tcW w:w="2000" w:type="dxa"/>
            <w:vAlign w:val="bottom"/>
            <w:tcBorders>
              <w:bottom w:val="single" w:sz="8" w:color="2D53A6"/>
            </w:tcBorders>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261"/>
        </w:trPr>
        <w:tc>
          <w:tcPr>
            <w:tcW w:w="318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Luis A. Müller</w:t>
            </w:r>
          </w:p>
        </w:tc>
        <w:tc>
          <w:tcPr>
            <w:tcW w:w="202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8"/>
              </w:rPr>
              <w:t>54,844</w:t>
            </w:r>
          </w:p>
        </w:tc>
        <w:tc>
          <w:tcPr>
            <w:tcW w:w="204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(29.9)%</w:t>
            </w:r>
          </w:p>
        </w:tc>
        <w:tc>
          <w:tcPr>
            <w:tcW w:w="20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8"/>
              </w:rPr>
              <w:t>22,102</w:t>
            </w:r>
          </w:p>
        </w:tc>
        <w:tc>
          <w:tcPr>
            <w:tcW w:w="2000" w:type="dxa"/>
            <w:vAlign w:val="bottom"/>
          </w:tcPr>
          <w:p>
            <w:pPr>
              <w:jc w:val="center"/>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
        </w:trPr>
        <w:tc>
          <w:tcPr>
            <w:tcW w:w="3180" w:type="dxa"/>
            <w:vAlign w:val="bottom"/>
            <w:tcBorders>
              <w:bottom w:val="single" w:sz="8" w:color="2D53A6"/>
              <w:right w:val="single" w:sz="8" w:color="2D53A6"/>
            </w:tcBorders>
          </w:tcPr>
          <w:p>
            <w:pPr>
              <w:spacing w:after="0"/>
              <w:rPr>
                <w:sz w:val="2"/>
                <w:szCs w:val="2"/>
                <w:color w:val="auto"/>
              </w:rPr>
            </w:pPr>
          </w:p>
        </w:tc>
        <w:tc>
          <w:tcPr>
            <w:tcW w:w="2020" w:type="dxa"/>
            <w:vAlign w:val="bottom"/>
            <w:tcBorders>
              <w:bottom w:val="single" w:sz="8" w:color="2D53A6"/>
              <w:right w:val="single" w:sz="8" w:color="2D53A6"/>
            </w:tcBorders>
          </w:tcPr>
          <w:p>
            <w:pPr>
              <w:spacing w:after="0"/>
              <w:rPr>
                <w:sz w:val="2"/>
                <w:szCs w:val="2"/>
                <w:color w:val="auto"/>
              </w:rPr>
            </w:pPr>
          </w:p>
        </w:tc>
        <w:tc>
          <w:tcPr>
            <w:tcW w:w="2040" w:type="dxa"/>
            <w:vAlign w:val="bottom"/>
            <w:tcBorders>
              <w:bottom w:val="single" w:sz="8" w:color="2D53A6"/>
              <w:right w:val="single" w:sz="8" w:color="2D53A6"/>
            </w:tcBorders>
          </w:tcPr>
          <w:p>
            <w:pPr>
              <w:spacing w:after="0"/>
              <w:rPr>
                <w:sz w:val="2"/>
                <w:szCs w:val="2"/>
                <w:color w:val="auto"/>
              </w:rPr>
            </w:pPr>
          </w:p>
        </w:tc>
        <w:tc>
          <w:tcPr>
            <w:tcW w:w="2000" w:type="dxa"/>
            <w:vAlign w:val="bottom"/>
            <w:tcBorders>
              <w:bottom w:val="single" w:sz="8" w:color="2D53A6"/>
              <w:right w:val="single" w:sz="8" w:color="2D53A6"/>
            </w:tcBorders>
          </w:tcPr>
          <w:p>
            <w:pPr>
              <w:spacing w:after="0"/>
              <w:rPr>
                <w:sz w:val="2"/>
                <w:szCs w:val="2"/>
                <w:color w:val="auto"/>
              </w:rPr>
            </w:pPr>
          </w:p>
        </w:tc>
        <w:tc>
          <w:tcPr>
            <w:tcW w:w="200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18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Jeffrey D. Jones</w:t>
            </w:r>
          </w:p>
        </w:tc>
        <w:tc>
          <w:tcPr>
            <w:tcW w:w="202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8"/>
              </w:rPr>
              <w:t>17,733</w:t>
            </w:r>
          </w:p>
        </w:tc>
        <w:tc>
          <w:tcPr>
            <w:tcW w:w="204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(29.9)%</w:t>
            </w:r>
          </w:p>
        </w:tc>
        <w:tc>
          <w:tcPr>
            <w:tcW w:w="200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7,146</w:t>
            </w:r>
          </w:p>
        </w:tc>
        <w:tc>
          <w:tcPr>
            <w:tcW w:w="200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54"/>
        </w:trPr>
        <w:tc>
          <w:tcPr>
            <w:tcW w:w="318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Christopher G. Bohrson</w:t>
            </w:r>
          </w:p>
        </w:tc>
        <w:tc>
          <w:tcPr>
            <w:tcW w:w="202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8"/>
              </w:rPr>
              <w:t>11,700</w:t>
            </w:r>
          </w:p>
        </w:tc>
        <w:tc>
          <w:tcPr>
            <w:tcW w:w="204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(29.9)%</w:t>
            </w:r>
          </w:p>
        </w:tc>
        <w:tc>
          <w:tcPr>
            <w:tcW w:w="2000" w:type="dxa"/>
            <w:vAlign w:val="bottom"/>
            <w:tcBorders>
              <w:top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4,715</w:t>
            </w:r>
          </w:p>
        </w:tc>
        <w:tc>
          <w:tcPr>
            <w:tcW w:w="200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
        </w:trPr>
        <w:tc>
          <w:tcPr>
            <w:tcW w:w="3180" w:type="dxa"/>
            <w:vAlign w:val="bottom"/>
            <w:tcBorders>
              <w:bottom w:val="single" w:sz="8" w:color="2D53A6"/>
              <w:right w:val="single" w:sz="8" w:color="2D53A6"/>
            </w:tcBorders>
          </w:tcPr>
          <w:p>
            <w:pPr>
              <w:spacing w:after="0"/>
              <w:rPr>
                <w:sz w:val="2"/>
                <w:szCs w:val="2"/>
                <w:color w:val="auto"/>
              </w:rPr>
            </w:pPr>
          </w:p>
        </w:tc>
        <w:tc>
          <w:tcPr>
            <w:tcW w:w="2020" w:type="dxa"/>
            <w:vAlign w:val="bottom"/>
            <w:tcBorders>
              <w:bottom w:val="single" w:sz="8" w:color="2D53A6"/>
              <w:right w:val="single" w:sz="8" w:color="2D53A6"/>
            </w:tcBorders>
          </w:tcPr>
          <w:p>
            <w:pPr>
              <w:spacing w:after="0"/>
              <w:rPr>
                <w:sz w:val="2"/>
                <w:szCs w:val="2"/>
                <w:color w:val="auto"/>
              </w:rPr>
            </w:pPr>
          </w:p>
        </w:tc>
        <w:tc>
          <w:tcPr>
            <w:tcW w:w="2040" w:type="dxa"/>
            <w:vAlign w:val="bottom"/>
            <w:tcBorders>
              <w:bottom w:val="single" w:sz="8" w:color="2D53A6"/>
              <w:right w:val="single" w:sz="8" w:color="2D53A6"/>
            </w:tcBorders>
          </w:tcPr>
          <w:p>
            <w:pPr>
              <w:spacing w:after="0"/>
              <w:rPr>
                <w:sz w:val="2"/>
                <w:szCs w:val="2"/>
                <w:color w:val="auto"/>
              </w:rPr>
            </w:pPr>
          </w:p>
        </w:tc>
        <w:tc>
          <w:tcPr>
            <w:tcW w:w="2000" w:type="dxa"/>
            <w:vAlign w:val="bottom"/>
            <w:tcBorders>
              <w:bottom w:val="single" w:sz="8" w:color="2D53A6"/>
              <w:right w:val="single" w:sz="8" w:color="2D53A6"/>
            </w:tcBorders>
          </w:tcPr>
          <w:p>
            <w:pPr>
              <w:spacing w:after="0"/>
              <w:rPr>
                <w:sz w:val="2"/>
                <w:szCs w:val="2"/>
                <w:color w:val="auto"/>
              </w:rPr>
            </w:pPr>
          </w:p>
        </w:tc>
        <w:tc>
          <w:tcPr>
            <w:tcW w:w="2000" w:type="dxa"/>
            <w:vAlign w:val="bottom"/>
            <w:tcBorders>
              <w:bottom w:val="single" w:sz="8" w:color="2D53A6"/>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8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Thomas D. Kampfer</w:t>
            </w:r>
          </w:p>
        </w:tc>
        <w:tc>
          <w:tcPr>
            <w:tcW w:w="202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8,683</w:t>
            </w:r>
          </w:p>
        </w:tc>
        <w:tc>
          <w:tcPr>
            <w:tcW w:w="204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(29.9)%</w:t>
            </w:r>
          </w:p>
        </w:tc>
        <w:tc>
          <w:tcPr>
            <w:tcW w:w="2000" w:type="dxa"/>
            <w:vAlign w:val="bottom"/>
            <w:tcBorders>
              <w:bottom w:val="single" w:sz="8" w:color="E6E6E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3,499</w:t>
            </w:r>
          </w:p>
        </w:tc>
        <w:tc>
          <w:tcPr>
            <w:tcW w:w="200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3180" w:type="dxa"/>
            <w:vAlign w:val="bottom"/>
            <w:tcBorders>
              <w:right w:val="single" w:sz="8" w:color="2D53A6"/>
            </w:tcBorders>
            <w:shd w:val="clear" w:color="auto" w:fill="2D53A6"/>
          </w:tcPr>
          <w:p>
            <w:pPr>
              <w:spacing w:after="0" w:line="20" w:lineRule="exact"/>
              <w:rPr>
                <w:sz w:val="1"/>
                <w:szCs w:val="1"/>
                <w:color w:val="auto"/>
              </w:rPr>
            </w:pPr>
          </w:p>
        </w:tc>
        <w:tc>
          <w:tcPr>
            <w:tcW w:w="2020" w:type="dxa"/>
            <w:vAlign w:val="bottom"/>
            <w:tcBorders>
              <w:right w:val="single" w:sz="8" w:color="2D53A6"/>
            </w:tcBorders>
            <w:shd w:val="clear" w:color="auto" w:fill="2D53A6"/>
          </w:tcPr>
          <w:p>
            <w:pPr>
              <w:spacing w:after="0" w:line="20" w:lineRule="exact"/>
              <w:rPr>
                <w:sz w:val="1"/>
                <w:szCs w:val="1"/>
                <w:color w:val="auto"/>
              </w:rPr>
            </w:pPr>
          </w:p>
        </w:tc>
        <w:tc>
          <w:tcPr>
            <w:tcW w:w="2040" w:type="dxa"/>
            <w:vAlign w:val="bottom"/>
            <w:tcBorders>
              <w:right w:val="single" w:sz="8" w:color="2D53A6"/>
            </w:tcBorders>
            <w:shd w:val="clear" w:color="auto" w:fill="2D53A6"/>
          </w:tcPr>
          <w:p>
            <w:pPr>
              <w:spacing w:after="0" w:line="20" w:lineRule="exact"/>
              <w:rPr>
                <w:sz w:val="1"/>
                <w:szCs w:val="1"/>
                <w:color w:val="auto"/>
              </w:rPr>
            </w:pPr>
          </w:p>
        </w:tc>
        <w:tc>
          <w:tcPr>
            <w:tcW w:w="2000" w:type="dxa"/>
            <w:vAlign w:val="bottom"/>
            <w:tcBorders>
              <w:right w:val="single" w:sz="8" w:color="2D53A6"/>
            </w:tcBorders>
            <w:shd w:val="clear" w:color="auto" w:fill="2D53A6"/>
          </w:tcPr>
          <w:p>
            <w:pPr>
              <w:spacing w:after="0" w:line="20" w:lineRule="exact"/>
              <w:rPr>
                <w:sz w:val="1"/>
                <w:szCs w:val="1"/>
                <w:color w:val="auto"/>
              </w:rPr>
            </w:pPr>
          </w:p>
        </w:tc>
        <w:tc>
          <w:tcPr>
            <w:tcW w:w="2000" w:type="dxa"/>
            <w:vAlign w:val="bottom"/>
            <w:shd w:val="clear" w:color="auto" w:fill="2D53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20" w:hanging="212"/>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COHU TSR compared to RUT TSR where RUT = +6.3%, COHU = -23.5%</w:t>
      </w:r>
    </w:p>
    <w:p>
      <w:pPr>
        <w:spacing w:after="0" w:line="5" w:lineRule="exact"/>
        <w:rPr>
          <w:rFonts w:ascii="Arial" w:cs="Arial" w:eastAsia="Arial" w:hAnsi="Arial"/>
          <w:sz w:val="14"/>
          <w:szCs w:val="14"/>
          <w:color w:val="auto"/>
        </w:rPr>
      </w:pPr>
    </w:p>
    <w:p>
      <w:pPr>
        <w:ind w:left="220" w:hanging="212"/>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100% + 2 times (RUT - COHU) TSR: 100% - (2 X -29.9%) = 40.3%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Benefits and Section 401(k) Plan</w:t>
      </w:r>
    </w:p>
    <w:p>
      <w:pPr>
        <w:spacing w:after="0" w:line="196"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We maintain a nonqualified deferred compensation plan, the Cohu, Inc. Deferred Compensation Plan (the “Deferred Compensation Plan”), for our U.S. based executive officers and other employees designated by the Compensation Committee. Under the Deferred Compensation Plan, participants may elect to voluntarily defer receipt of up to 25% of their base salary and/or up to 100% of their annual cash incentive payment, thereby allowing them to defer taxation on such amounts.</w:t>
      </w:r>
    </w:p>
    <w:p>
      <w:pPr>
        <w:spacing w:after="0" w:line="16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Although we have not matched any participant contributions to the Deferred Compensation Plan since 2008, we may in the future match participant contributions to the Deferred Compensation Plan up to 4% of the participant’s annual base salary in excess of the specified annual compensation limit allowed under the Internal Revenue Code for contributions under the Section 401(k) plan. The annual limit, which is indexed, was $345,000 for 2024. Our matching contributions and any deemed investment earnings attributable to these contributions, if any are actually made, will be 100% vested when the participant has two years of service with us. Prior to that time, such amounts are unvested. Participant contributions and deemed investment earnings are 100% vested at all times. For additional information on the Deferred Compensation Plan, see “2024 Nonqualified Deferred Compensation” below.</w:t>
      </w:r>
    </w:p>
    <w:p>
      <w:pPr>
        <w:spacing w:after="0" w:line="17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maintain a tax-qualified defined contribution plan, the Cohu Employees’ Retirement Plan (the “401(k) Plan”), for our U.S. based executive officers and other employees. The majority of our U.S. based employees, including all of the U.S.- based NEOs, who are at least 21 years of age, are eligible to enroll in the 401(k) Plan. Under the 401(k) Plan, participants may contribute a percentage of their annual compensation subject to maximum annual contribution limitations. We may match participant contributions not to exceed specified annual limits. Our matching contributions in 2024 are immediately vested and our matching contribution was at the rate of 50% of the first 8% of employee pre-tax contributions to the plan. Generally, during 2024 the maximum annual amount that any participant could contribute to the 401(k) Plan was $23,000 unless aged 50 or more which allows participants to make an additional $7,500 in “catch-up” contributions and our maximum matching contribution was $13,800.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Welfare and Health Benefits</w:t>
      </w:r>
    </w:p>
    <w:p>
      <w:pPr>
        <w:spacing w:after="0" w:line="196"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In 2024, our executive officers, including our NEOs, were eligible to receive health care insurance coverage and additional benefits that are generally available to our other employees located in the same country. These benefit programs include the employee stock purchase plan, medical, dental and vision insurance, long-term and short-term disability insurance, life and accidental death and dismemberment insurance, health and dependent care flexible spending accounts, business travel insurance, relocation/expatriate programs and services, educational assistance, employee assistance, and certain other benefits.</w:t>
      </w:r>
    </w:p>
    <w:p>
      <w:pPr>
        <w:spacing w:after="0" w:line="163"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The 401(k) Plan and other generally available benefit programs allow us to be competitive for employee talent and we believe that the availability of these programs generally enhances employee productivity and loyalty. The principal objectives of our benefit programs are to give our employees access to quality healthcare, financial protection from unforeseen events, assistance in achieving retirement financial goals, enhanced health and productivity, and to provide support for global workforce mobility, in full compliance with applicable legal requirements. Typically, these generally- available benefits do not specifically factor into decisions regarding an individual executive officer’s total compensation or equity awards.</w:t>
      </w:r>
    </w:p>
    <w:p>
      <w:pPr>
        <w:spacing w:after="0" w:line="165"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Each year, we informally review our U.S. based benefit programs against our peers with data provided by Aon, our health and welfare benefits broker of record, and by OneDigital Investment Advisors, our independent 401(k) Plan consultant. This review includes an analysis of the dollar value to an employee and the dollar cost to us for the benefits under the applicable plan using a standard population of employees. Similar evaluations are made in other regions with local benefit consultants.</w:t>
      </w:r>
    </w:p>
    <w:p>
      <w:pPr>
        <w:spacing w:after="0" w:line="160"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We analyze changes to our benefit programs in light of the overall objectives of the programs, including the effectiveness of their incentive and retention features.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19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motivation, and retention purposes.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During 2024, we provided our NEOs with automobile expense reimbursement or allowances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8200" w:type="dxa"/>
            <w:vAlign w:val="bottom"/>
            <w:tcBorders>
              <w:right w:val="single" w:sz="8" w:color="2D53A6"/>
            </w:tcBorders>
            <w:shd w:val="clear" w:color="auto" w:fill="2D53A6"/>
          </w:tcPr>
          <w:p>
            <w:pPr>
              <w:ind w:left="40"/>
              <w:spacing w:after="0"/>
              <w:rPr>
                <w:sz w:val="20"/>
                <w:szCs w:val="20"/>
                <w:color w:val="auto"/>
              </w:rPr>
            </w:pPr>
            <w:r>
              <w:rPr>
                <w:rFonts w:ascii="Arial" w:cs="Arial" w:eastAsia="Arial" w:hAnsi="Arial"/>
                <w:sz w:val="20"/>
                <w:szCs w:val="20"/>
                <w:b w:val="1"/>
                <w:bCs w:val="1"/>
                <w:color w:val="FFFFFF"/>
              </w:rPr>
              <w:t>Named Executive Officer</w:t>
            </w:r>
          </w:p>
        </w:tc>
        <w:tc>
          <w:tcPr>
            <w:tcW w:w="3040" w:type="dxa"/>
            <w:vAlign w:val="bottom"/>
            <w:shd w:val="clear" w:color="auto" w:fill="2D53A6"/>
          </w:tcPr>
          <w:p>
            <w:pPr>
              <w:jc w:val="center"/>
              <w:spacing w:after="0"/>
              <w:rPr>
                <w:sz w:val="20"/>
                <w:szCs w:val="20"/>
                <w:color w:val="auto"/>
              </w:rPr>
            </w:pPr>
            <w:r>
              <w:rPr>
                <w:rFonts w:ascii="Arial" w:cs="Arial" w:eastAsia="Arial" w:hAnsi="Arial"/>
                <w:sz w:val="20"/>
                <w:szCs w:val="20"/>
                <w:b w:val="1"/>
                <w:bCs w:val="1"/>
                <w:color w:val="FFFFFF"/>
                <w:w w:val="99"/>
              </w:rPr>
              <w:t>Annual Auto Allowance</w:t>
            </w:r>
          </w:p>
        </w:tc>
      </w:tr>
      <w:tr>
        <w:trPr>
          <w:trHeight w:val="260"/>
        </w:trPr>
        <w:tc>
          <w:tcPr>
            <w:tcW w:w="8200" w:type="dxa"/>
            <w:vAlign w:val="bottom"/>
            <w:tcBorders>
              <w:right w:val="single" w:sz="8" w:color="2D53A6"/>
            </w:tcBorders>
          </w:tcPr>
          <w:p>
            <w:pPr>
              <w:ind w:left="40"/>
              <w:spacing w:after="0"/>
              <w:rPr>
                <w:sz w:val="20"/>
                <w:szCs w:val="20"/>
                <w:color w:val="auto"/>
              </w:rPr>
            </w:pPr>
            <w:r>
              <w:rPr>
                <w:rFonts w:ascii="Arial" w:cs="Arial" w:eastAsia="Arial" w:hAnsi="Arial"/>
                <w:sz w:val="18"/>
                <w:szCs w:val="18"/>
                <w:color w:val="auto"/>
              </w:rPr>
              <w:t>Luis A. Müller</w:t>
            </w:r>
          </w:p>
        </w:tc>
        <w:tc>
          <w:tcPr>
            <w:tcW w:w="3040" w:type="dxa"/>
            <w:vAlign w:val="bottom"/>
          </w:tcPr>
          <w:p>
            <w:pPr>
              <w:jc w:val="center"/>
              <w:spacing w:after="0"/>
              <w:rPr>
                <w:sz w:val="20"/>
                <w:szCs w:val="20"/>
                <w:color w:val="auto"/>
              </w:rPr>
            </w:pPr>
            <w:r>
              <w:rPr>
                <w:rFonts w:ascii="Arial" w:cs="Arial" w:eastAsia="Arial" w:hAnsi="Arial"/>
                <w:sz w:val="18"/>
                <w:szCs w:val="18"/>
                <w:color w:val="auto"/>
                <w:w w:val="98"/>
              </w:rPr>
              <w:t>$9,000</w:t>
            </w:r>
          </w:p>
        </w:tc>
      </w:tr>
      <w:tr>
        <w:trPr>
          <w:trHeight w:val="23"/>
        </w:trPr>
        <w:tc>
          <w:tcPr>
            <w:tcW w:w="8200" w:type="dxa"/>
            <w:vAlign w:val="bottom"/>
            <w:tcBorders>
              <w:bottom w:val="single" w:sz="8" w:color="2D53A6"/>
              <w:right w:val="single" w:sz="8" w:color="2D53A6"/>
            </w:tcBorders>
          </w:tcPr>
          <w:p>
            <w:pPr>
              <w:spacing w:after="0"/>
              <w:rPr>
                <w:sz w:val="2"/>
                <w:szCs w:val="2"/>
                <w:color w:val="auto"/>
              </w:rPr>
            </w:pPr>
          </w:p>
        </w:tc>
        <w:tc>
          <w:tcPr>
            <w:tcW w:w="3040" w:type="dxa"/>
            <w:vAlign w:val="bottom"/>
            <w:tcBorders>
              <w:bottom w:val="single" w:sz="8" w:color="2D53A6"/>
            </w:tcBorders>
          </w:tcPr>
          <w:p>
            <w:pPr>
              <w:spacing w:after="0"/>
              <w:rPr>
                <w:sz w:val="2"/>
                <w:szCs w:val="2"/>
                <w:color w:val="auto"/>
              </w:rPr>
            </w:pPr>
          </w:p>
        </w:tc>
      </w:tr>
      <w:tr>
        <w:trPr>
          <w:trHeight w:val="282"/>
        </w:trPr>
        <w:tc>
          <w:tcPr>
            <w:tcW w:w="82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Jeffrey D. Jones</w:t>
            </w:r>
          </w:p>
        </w:tc>
        <w:tc>
          <w:tcPr>
            <w:tcW w:w="30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$6,000</w:t>
            </w:r>
          </w:p>
        </w:tc>
      </w:tr>
      <w:tr>
        <w:trPr>
          <w:trHeight w:val="254"/>
        </w:trPr>
        <w:tc>
          <w:tcPr>
            <w:tcW w:w="8200" w:type="dxa"/>
            <w:vAlign w:val="bottom"/>
            <w:tcBorders>
              <w:top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Christopher G. Bohrson</w:t>
            </w:r>
          </w:p>
        </w:tc>
        <w:tc>
          <w:tcPr>
            <w:tcW w:w="3040" w:type="dxa"/>
            <w:vAlign w:val="bottom"/>
            <w:tcBorders>
              <w:top w:val="single" w:sz="8" w:color="2D53A6"/>
            </w:tcBorders>
          </w:tcPr>
          <w:p>
            <w:pPr>
              <w:jc w:val="center"/>
              <w:spacing w:after="0"/>
              <w:rPr>
                <w:sz w:val="20"/>
                <w:szCs w:val="20"/>
                <w:color w:val="auto"/>
              </w:rPr>
            </w:pPr>
            <w:r>
              <w:rPr>
                <w:rFonts w:ascii="Arial" w:cs="Arial" w:eastAsia="Arial" w:hAnsi="Arial"/>
                <w:sz w:val="18"/>
                <w:szCs w:val="18"/>
                <w:color w:val="auto"/>
                <w:w w:val="98"/>
              </w:rPr>
              <w:t>$6,000</w:t>
            </w:r>
          </w:p>
        </w:tc>
      </w:tr>
      <w:tr>
        <w:trPr>
          <w:trHeight w:val="23"/>
        </w:trPr>
        <w:tc>
          <w:tcPr>
            <w:tcW w:w="8200" w:type="dxa"/>
            <w:vAlign w:val="bottom"/>
            <w:tcBorders>
              <w:bottom w:val="single" w:sz="8" w:color="2D53A6"/>
              <w:right w:val="single" w:sz="8" w:color="2D53A6"/>
            </w:tcBorders>
          </w:tcPr>
          <w:p>
            <w:pPr>
              <w:spacing w:after="0"/>
              <w:rPr>
                <w:sz w:val="2"/>
                <w:szCs w:val="2"/>
                <w:color w:val="auto"/>
              </w:rPr>
            </w:pPr>
          </w:p>
        </w:tc>
        <w:tc>
          <w:tcPr>
            <w:tcW w:w="3040" w:type="dxa"/>
            <w:vAlign w:val="bottom"/>
            <w:tcBorders>
              <w:bottom w:val="single" w:sz="8" w:color="2D53A6"/>
            </w:tcBorders>
          </w:tcPr>
          <w:p>
            <w:pPr>
              <w:spacing w:after="0"/>
              <w:rPr>
                <w:sz w:val="2"/>
                <w:szCs w:val="2"/>
                <w:color w:val="auto"/>
              </w:rPr>
            </w:pPr>
          </w:p>
        </w:tc>
      </w:tr>
      <w:tr>
        <w:trPr>
          <w:trHeight w:val="257"/>
        </w:trPr>
        <w:tc>
          <w:tcPr>
            <w:tcW w:w="8200" w:type="dxa"/>
            <w:vAlign w:val="bottom"/>
            <w:tcBorders>
              <w:bottom w:val="single" w:sz="8" w:color="E6E6E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Thomas D. Kampfer</w:t>
            </w:r>
          </w:p>
        </w:tc>
        <w:tc>
          <w:tcPr>
            <w:tcW w:w="30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8"/>
              </w:rPr>
              <w:t>$4,938</w:t>
            </w:r>
          </w:p>
        </w:tc>
      </w:tr>
      <w:tr>
        <w:trPr>
          <w:trHeight w:val="20"/>
        </w:trPr>
        <w:tc>
          <w:tcPr>
            <w:tcW w:w="8200" w:type="dxa"/>
            <w:vAlign w:val="bottom"/>
            <w:tcBorders>
              <w:right w:val="single" w:sz="8" w:color="2D53A6"/>
            </w:tcBorders>
            <w:shd w:val="clear" w:color="auto" w:fill="2D53A6"/>
          </w:tcPr>
          <w:p>
            <w:pPr>
              <w:spacing w:after="0" w:line="20" w:lineRule="exact"/>
              <w:rPr>
                <w:sz w:val="1"/>
                <w:szCs w:val="1"/>
                <w:color w:val="auto"/>
              </w:rPr>
            </w:pPr>
          </w:p>
        </w:tc>
        <w:tc>
          <w:tcPr>
            <w:tcW w:w="3040" w:type="dxa"/>
            <w:vAlign w:val="bottom"/>
            <w:shd w:val="clear" w:color="auto" w:fill="2D53A6"/>
          </w:tcPr>
          <w:p>
            <w:pPr>
              <w:spacing w:after="0" w:line="20" w:lineRule="exact"/>
              <w:rPr>
                <w:sz w:val="1"/>
                <w:szCs w:val="1"/>
                <w:color w:val="auto"/>
              </w:rPr>
            </w:pPr>
          </w:p>
        </w:tc>
      </w:tr>
    </w:tbl>
    <w:p>
      <w:pPr>
        <w:spacing w:after="0" w:line="184" w:lineRule="exact"/>
        <w:rPr>
          <w:sz w:val="20"/>
          <w:szCs w:val="20"/>
          <w:color w:val="auto"/>
        </w:rPr>
      </w:pPr>
    </w:p>
    <w:p>
      <w:pPr>
        <w:jc w:val="both"/>
        <w:ind w:right="260"/>
        <w:spacing w:after="0" w:line="247" w:lineRule="auto"/>
        <w:rPr>
          <w:sz w:val="20"/>
          <w:szCs w:val="20"/>
          <w:color w:val="auto"/>
        </w:rPr>
      </w:pPr>
      <w:r>
        <w:rPr>
          <w:rFonts w:ascii="Arial" w:cs="Arial" w:eastAsia="Arial" w:hAnsi="Arial"/>
          <w:sz w:val="18"/>
          <w:szCs w:val="18"/>
          <w:color w:val="auto"/>
        </w:rPr>
        <w:t>In the future, we may provide perquisites or other personal benefits to our executive officers in limited circumstances, as described above. We do not expect that these perquisites or other personal benefits will be a significant aspect of our executive compensation program. All future practices with respect to perquisites or other personal benefits will be approved and subject to periodic review by the Compensation Committee.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2D53A6"/>
        </w:rPr>
        <w:t>Employment Agreements</w:t>
      </w:r>
    </w:p>
    <w:p>
      <w:pPr>
        <w:spacing w:after="0" w:line="20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do not have employment agreements with our NEOs. The material terms of stock awards granted to our NEOs in 2024 and performance-based cash incentives earned by our NEOs for 2024 are described in more detail in “Long-Term Incentive Compensation” and “Short-Term Incentive Plan”, respectively, above, and the material terms of severance and other termination benefits and compensation are articulated below in “Post-Employment Compensation”.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2D53A6"/>
        </w:rPr>
        <w:t>Post-Employment Compensation</w:t>
      </w:r>
    </w:p>
    <w:p>
      <w:pPr>
        <w:spacing w:after="0" w:line="20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2020, the Compensation Committee undertook, in consultation with Compensia, a review of its executive post-employment agreements. The objective of this review was to independently assess best practices and develop standard agreements to be implemented as the Compensation Committee deemed appropriate among the Company’s executive officers. The Compensation Committee approved a form of executive severance agreement (the “Severance Agreement”) and form of change in control agreement (the “Change in Control Agreement”) for certain of the Company’s executive officers (an “Executive”) as described below (the “Executive Agreements”). The post-employment payments and benefits which our NEOs are eligible to receive under the Executive Agreements are described in more detail in “Potential Payments upon Termination or Change in Control” below.</w:t>
      </w:r>
    </w:p>
    <w:p>
      <w:pPr>
        <w:spacing w:after="0" w:line="17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believe providing these arrangements help us compete for and retain executive talent. After reviewing the practices of companies represented in the compensation peer group, we believe that these arrangements are generally comparable with the severance packages offered to executives by the companies in the compensation peer group. We believe that the “double trigger” arrangement under the Change in Control Agreement maximizes stockholder value because it prevents an unintended windfall to these executive officers in the event of a change in control of Cohu, while still providing them appropriate incentives to cooperate in negotiating a transaction involving a potential change in control of Cohu in which they believe they may lose their jobs.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2D53A6"/>
        </w:rPr>
        <w:t>Other Compensation Policies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 Ownership Policy</w:t>
      </w:r>
    </w:p>
    <w:p>
      <w:pPr>
        <w:spacing w:after="0" w:line="19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believe that stock ownership by our executive officers is important to link the risks and rewards inherent in stock ownership of these individuals and our stockholders. The Compensation Committee has adopted a stock ownership policy that requires our executive officers to own a minimum number of shares of our common stock. These mandatory ownership levels are intended to create a clear standard that ties a portion of these individuals’ net worth to the performance of our stock price. The policy provides that over the five-year period commencing with their appointment or employment as an executive officer or over a three-year period following an increase in their annual base salary or a new ownership level being approved, these individuals must accumulate and hold shares of our common stock having the following values: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640" w:type="dxa"/>
            <w:vAlign w:val="bottom"/>
            <w:tcBorders>
              <w:right w:val="single" w:sz="8" w:color="2D53A6"/>
            </w:tcBorders>
            <w:shd w:val="clear" w:color="auto" w:fill="2D53A6"/>
          </w:tcPr>
          <w:p>
            <w:pPr>
              <w:ind w:left="40"/>
              <w:spacing w:after="0"/>
              <w:rPr>
                <w:sz w:val="20"/>
                <w:szCs w:val="20"/>
                <w:color w:val="auto"/>
              </w:rPr>
            </w:pPr>
            <w:r>
              <w:rPr>
                <w:rFonts w:ascii="Arial" w:cs="Arial" w:eastAsia="Arial" w:hAnsi="Arial"/>
                <w:sz w:val="20"/>
                <w:szCs w:val="20"/>
                <w:b w:val="1"/>
                <w:bCs w:val="1"/>
                <w:color w:val="FFFFFF"/>
              </w:rPr>
              <w:t>Individual Subject to Stock Ownership Policy</w:t>
            </w:r>
          </w:p>
        </w:tc>
        <w:tc>
          <w:tcPr>
            <w:tcW w:w="5600" w:type="dxa"/>
            <w:vAlign w:val="bottom"/>
            <w:shd w:val="clear" w:color="auto" w:fill="2D53A6"/>
          </w:tcPr>
          <w:p>
            <w:pPr>
              <w:ind w:left="20"/>
              <w:spacing w:after="0"/>
              <w:rPr>
                <w:sz w:val="20"/>
                <w:szCs w:val="20"/>
                <w:color w:val="auto"/>
              </w:rPr>
            </w:pPr>
            <w:r>
              <w:rPr>
                <w:rFonts w:ascii="Arial" w:cs="Arial" w:eastAsia="Arial" w:hAnsi="Arial"/>
                <w:sz w:val="20"/>
                <w:szCs w:val="20"/>
                <w:b w:val="1"/>
                <w:bCs w:val="1"/>
                <w:color w:val="FFFFFF"/>
              </w:rPr>
              <w:t>Minimum Required Level of Stock Ownership</w:t>
            </w:r>
          </w:p>
        </w:tc>
      </w:tr>
      <w:tr>
        <w:trPr>
          <w:trHeight w:val="252"/>
        </w:trPr>
        <w:tc>
          <w:tcPr>
            <w:tcW w:w="5640" w:type="dxa"/>
            <w:vAlign w:val="bottom"/>
            <w:tcBorders>
              <w:bottom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Chief Executive Officer</w:t>
            </w:r>
          </w:p>
        </w:tc>
        <w:tc>
          <w:tcPr>
            <w:tcW w:w="5600" w:type="dxa"/>
            <w:vAlign w:val="bottom"/>
            <w:tcBorders>
              <w:bottom w:val="single" w:sz="8" w:color="2D53A6"/>
            </w:tcBorders>
          </w:tcPr>
          <w:p>
            <w:pPr>
              <w:ind w:left="20"/>
              <w:spacing w:after="0"/>
              <w:rPr>
                <w:sz w:val="20"/>
                <w:szCs w:val="20"/>
                <w:color w:val="auto"/>
              </w:rPr>
            </w:pPr>
            <w:r>
              <w:rPr>
                <w:rFonts w:ascii="Arial" w:cs="Arial" w:eastAsia="Arial" w:hAnsi="Arial"/>
                <w:sz w:val="18"/>
                <w:szCs w:val="18"/>
                <w:color w:val="auto"/>
              </w:rPr>
              <w:t>Three times annual base salary</w:t>
            </w:r>
          </w:p>
        </w:tc>
      </w:tr>
      <w:tr>
        <w:trPr>
          <w:trHeight w:val="250"/>
        </w:trPr>
        <w:tc>
          <w:tcPr>
            <w:tcW w:w="5640" w:type="dxa"/>
            <w:vAlign w:val="bottom"/>
            <w:tcBorders>
              <w:bottom w:val="single" w:sz="8" w:color="2D53A6"/>
              <w:right w:val="single" w:sz="8" w:color="2D53A6"/>
            </w:tcBorders>
            <w:shd w:val="clear" w:color="auto" w:fill="E6E6E6"/>
          </w:tcPr>
          <w:p>
            <w:pPr>
              <w:ind w:left="40"/>
              <w:spacing w:after="0"/>
              <w:rPr>
                <w:sz w:val="20"/>
                <w:szCs w:val="20"/>
                <w:color w:val="auto"/>
              </w:rPr>
            </w:pPr>
            <w:r>
              <w:rPr>
                <w:rFonts w:ascii="Arial" w:cs="Arial" w:eastAsia="Arial" w:hAnsi="Arial"/>
                <w:sz w:val="18"/>
                <w:szCs w:val="18"/>
                <w:color w:val="auto"/>
              </w:rPr>
              <w:t>Chief Financial Officer</w:t>
            </w:r>
          </w:p>
        </w:tc>
        <w:tc>
          <w:tcPr>
            <w:tcW w:w="5600" w:type="dxa"/>
            <w:vAlign w:val="bottom"/>
            <w:tcBorders>
              <w:bottom w:val="single" w:sz="8" w:color="2D53A6"/>
            </w:tcBorders>
            <w:shd w:val="clear" w:color="auto" w:fill="E6E6E6"/>
          </w:tcPr>
          <w:p>
            <w:pPr>
              <w:ind w:left="20"/>
              <w:spacing w:after="0"/>
              <w:rPr>
                <w:sz w:val="20"/>
                <w:szCs w:val="20"/>
                <w:color w:val="auto"/>
              </w:rPr>
            </w:pPr>
            <w:r>
              <w:rPr>
                <w:rFonts w:ascii="Arial" w:cs="Arial" w:eastAsia="Arial" w:hAnsi="Arial"/>
                <w:sz w:val="18"/>
                <w:szCs w:val="18"/>
                <w:color w:val="auto"/>
              </w:rPr>
              <w:t>Two times annual base salary</w:t>
            </w:r>
          </w:p>
        </w:tc>
      </w:tr>
      <w:tr>
        <w:trPr>
          <w:trHeight w:val="250"/>
        </w:trPr>
        <w:tc>
          <w:tcPr>
            <w:tcW w:w="5640" w:type="dxa"/>
            <w:vAlign w:val="bottom"/>
            <w:tcBorders>
              <w:bottom w:val="single" w:sz="8" w:color="2D53A6"/>
              <w:right w:val="single" w:sz="8" w:color="2D53A6"/>
            </w:tcBorders>
          </w:tcPr>
          <w:p>
            <w:pPr>
              <w:ind w:left="40"/>
              <w:spacing w:after="0"/>
              <w:rPr>
                <w:sz w:val="20"/>
                <w:szCs w:val="20"/>
                <w:color w:val="auto"/>
              </w:rPr>
            </w:pPr>
            <w:r>
              <w:rPr>
                <w:rFonts w:ascii="Arial" w:cs="Arial" w:eastAsia="Arial" w:hAnsi="Arial"/>
                <w:sz w:val="18"/>
                <w:szCs w:val="18"/>
                <w:color w:val="auto"/>
              </w:rPr>
              <w:t>All other executive officers</w:t>
            </w:r>
          </w:p>
        </w:tc>
        <w:tc>
          <w:tcPr>
            <w:tcW w:w="5600" w:type="dxa"/>
            <w:vAlign w:val="bottom"/>
            <w:tcBorders>
              <w:bottom w:val="single" w:sz="8" w:color="2D53A6"/>
            </w:tcBorders>
          </w:tcPr>
          <w:p>
            <w:pPr>
              <w:ind w:left="20"/>
              <w:spacing w:after="0"/>
              <w:rPr>
                <w:sz w:val="20"/>
                <w:szCs w:val="20"/>
                <w:color w:val="auto"/>
              </w:rPr>
            </w:pPr>
            <w:r>
              <w:rPr>
                <w:rFonts w:ascii="Arial" w:cs="Arial" w:eastAsia="Arial" w:hAnsi="Arial"/>
                <w:sz w:val="18"/>
                <w:szCs w:val="18"/>
                <w:color w:val="auto"/>
              </w:rPr>
              <w:t>One times annual base salary</w:t>
            </w:r>
          </w:p>
        </w:tc>
      </w:tr>
    </w:tbl>
    <w:p>
      <w:pPr>
        <w:spacing w:after="0" w:line="18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Under our stock ownership policy, our executive officers should not sell any shares of our common stock, other than to settle tax withholding obligations due to the vesting of shares, until the applicable ownership level has been met and, once met, subsequent sales, if any, should not reduce their ownership of our common stock below these minimum ownership levels unless approved by the Compensation Committee in advance. Vested “phantom” and deferred but unissued shares of our common stock are included as shares owned for purposes of our stock ownership policy. The Compensation Committee monitors compliance with these stock ownership levels on an annual basis using the average closing price of our common stock during the preceding fiscal year. As of December 31, 2024, each of our NEOs was compliant with the policy.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Policy for Recovery of Erroneously Awarded Incentive Compensation</w:t>
      </w:r>
    </w:p>
    <w:p>
      <w:pPr>
        <w:spacing w:after="0" w:line="191"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On October 2, 2023 we adopted a revised Policy for Recovery of Erroneously Awarded Incentive Compensation (“clawback”) policy that complies with the requirements of Exchange Act Rule 10d-1 and the corresponding Nasdaq listing standards under which if the Company is required to prepare a Restatement (as defined in the policy), the Company will seek to recover and clawback from any Affected Officer (as defined in the policy) reasonably promptly the Erroneously Awarded Compensation (as defined in the policy) received by the Affected Officer.</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Award Grant Policy</w:t>
      </w:r>
    </w:p>
    <w:p>
      <w:pPr>
        <w:spacing w:after="0" w:line="19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grant equity awards to our executive officers under our stockholder-approved 2005 Plan. Pursuant to this plan, all stock option grants must have a per share exercise price at least equal to the fair market value of our common stock on the grant date. Grants of equity awards to newly hired or appointed executive officers, including NEOs, will typically be made at a regularly scheduled meeting of the Compensation Committee held subsequent to the new hire or appointment date. Ongoing equity award grants to our executive officers, including our NEOs, will be approved on an annual basis at a meeting of the Compensation Committee or our Board of Directors, as applicable, which is typically held in the first quarter of each fiscal year.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The Compensation Committee has not granted, nor does it intend in the future to grant, equity awards to our executive officers or any other individual in anticipation of the release of material nonpublic information that is likely to result in changes to the price of our common stock, such as a significant positive or negative earnings announcement. Similarly, Cohu has not timed, nor does it intend in the future to time, the release of material nonpublic information based on equity award grant dates. In addition, because our equity awards typically vest or are earned over a multi-year period, the value to recipients of any immediate increase in the price of our common stock following an award will be minimal.</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Treatment of Equity Awards Upon Retirement</w:t>
      </w:r>
    </w:p>
    <w:p>
      <w:pPr>
        <w:spacing w:after="0" w:line="19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March 2023, after consultation with Compensia and external legal counsel, the Compensation Committee approved a policy providing for the continuation of vesting eligibility after retirement for certain equity awards granted to specific senior executives that satisfy the eligibility requirements of a Qualifying Retiring Employee. These requirements include being a minimum age for retirement, having completed a minimum number of years of service with Cohu, including tenure as a senior executive, and providing specific advance notice of the request to receive retirement benefits. This policy does not apply to any equity awards granted before March 2023. This policy applies to all our NEOs including our CEO. We believe providing these potential retirement benefits will help us compete for and retain executive talent as well as facilitate orderly transitions for retiring executives.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 Hedging or Pledging</w:t>
      </w:r>
    </w:p>
    <w:p>
      <w:pPr>
        <w:spacing w:after="0" w:line="19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Cohu’s Insider Trading Policy prohibits all officers, directors, and other employees with access to sensitive Company information from engaging in any form of hedging transaction (derivatives, equity swaps, forwards, etc.) in Cohu’s stock, including, among other things, short sales and transactions involving publicly traded options. In addition, such officers, directors, and employees are prohibited from holding Cohu stock in margin accounts and from pledging Cohu stock as collateral for loans. We believe that these policies further align the interests of our officers and directors with those of our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2D53A6"/>
        </w:rPr>
        <w:t>Tax and Accounting Considerations</w:t>
      </w:r>
    </w:p>
    <w:p>
      <w:pPr>
        <w:spacing w:after="0" w:line="20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designing our executive compensation program, the Compensation Committee takes into consideration the tax and accounting effects that each element of compensation will or may have on Cohu and our executive officers. The Compensation Committee seeks to keep the compensation expense associated with our executive compensation program as a whole within reasonable levels. When determining how to apportion between differing elements of compensation, the Compensation Committee’s goal is to meet our business objectives while maintaining cost neutrality. For example, if the Compensation Committee increases benefits under one compensation plan or arrangement resulting in higher compensation expense, it may seek to decrease benefits under another plan or arrangement to avoid compensation expense that is above the desired level.</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Deductibility of Executive Compensation</w:t>
      </w:r>
    </w:p>
    <w:p>
      <w:pPr>
        <w:spacing w:after="0" w:line="19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Under Section 162(m), compensation paid to each of our NEOs and other “covered employees” that exceeds $1 million per taxable year is generally non-deductible. The Compensation Committee reserves the discretion, in its judgment, to approve compensation payments that may not be deductible as a result of the deduction limit of Section 162(m) when it believes that such payments are appropriate to attract and retain executive talent and are in the best interests of Cohu and our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Taxation of Nonqualified Deferred Compensation</w:t>
      </w:r>
    </w:p>
    <w:p>
      <w:pPr>
        <w:spacing w:after="0" w:line="19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Section 409A of the Code requires that amounts that qualify as “nonqualified deferred compensation” satisfy requirements with respect to the timing of deferral elections, timing of payments, and certain other matters. Generally, the Compensation Committee intends to administer our executive compensation program and design individual compensation elements, as well as the compensation plans and arrangements for our employees generally, so that they are either exempt from, or satisfy the requirements of, Section 409A, which primarily results in negative tax consequences to our executive officers rather than Cohu. From time to time, we may be required to amend some of our compensation plans and arrangements to ensure that they are either exempt from, or compliant with, Section 409A.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We are not obligated under any compensation plan or arrangement to prevent or minimize any negative tax consequences that may affect our executive officers, nor are we required to pay any “gross-up” should any such consequences arise.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Taxation of </w:t>
      </w:r>
      <w:r>
        <w:rPr>
          <w:rFonts w:ascii="Arial" w:cs="Arial" w:eastAsia="Arial" w:hAnsi="Arial"/>
          <w:sz w:val="20"/>
          <w:szCs w:val="20"/>
          <w:color w:val="auto"/>
        </w:rPr>
        <w:t>“</w:t>
      </w:r>
      <w:r>
        <w:rPr>
          <w:rFonts w:ascii="Arial" w:cs="Arial" w:eastAsia="Arial" w:hAnsi="Arial"/>
          <w:sz w:val="20"/>
          <w:szCs w:val="20"/>
          <w:i w:val="1"/>
          <w:iCs w:val="1"/>
          <w:color w:val="auto"/>
        </w:rPr>
        <w:t>Parachute</w:t>
      </w:r>
      <w:r>
        <w:rPr>
          <w:rFonts w:ascii="Arial" w:cs="Arial" w:eastAsia="Arial" w:hAnsi="Arial"/>
          <w:sz w:val="20"/>
          <w:szCs w:val="20"/>
          <w:color w:val="auto"/>
        </w:rPr>
        <w:t>”</w:t>
      </w:r>
      <w:r>
        <w:rPr>
          <w:rFonts w:ascii="Arial" w:cs="Arial" w:eastAsia="Arial" w:hAnsi="Arial"/>
          <w:sz w:val="20"/>
          <w:szCs w:val="20"/>
          <w:i w:val="1"/>
          <w:iCs w:val="1"/>
          <w:color w:val="auto"/>
        </w:rPr>
        <w:t xml:space="preserve"> Payments</w:t>
      </w:r>
    </w:p>
    <w:p>
      <w:pPr>
        <w:spacing w:after="0" w:line="191"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Sections 280G and 4999 of the Code provide that executive officers and directors who hold significant equity interests and certain other service providers may be subject to significant additional taxes if they receive payments or benefits in connection with a change in control of Cohu that exceeds certain prescribed limits, and that Cohu (or a successor) may forfeit a deduction on the amounts subject to this additional tax. We are not obligated to provide any NEO with a “gross- up” or other reimbursement payment for any tax liability that he or she may owe as a result of the application of Sections 280G or 4999 in the event of a change in control of Cohu.</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Accounting for Stock-Based Compensation</w:t>
      </w:r>
    </w:p>
    <w:p>
      <w:pPr>
        <w:spacing w:after="0" w:line="191"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 Compensation Committee takes accounting implications into consideration in designing compensation plans and arrangements for our executive officers and other employees. Chief among these is Financial Accounting Standards Board Accounting Standards Codification Topic 718, Compensation-Stock Compensation, (“ASC Topic 718”), the standard which governs the accounting treatment of stock-based compensation awards.</w:t>
      </w:r>
    </w:p>
    <w:p>
      <w:pPr>
        <w:spacing w:after="0" w:line="160"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ASC Topic 718 requires us to measure and recognize in our financial statements all share-based payment awards to employees, directors and consultants, including stock option grants, restricted stock unit awards, and performance stock unit awards to our executive officers, under the fair value method. Our estimate of share-based compensation expense requires a number of complex and subjective assumptions including our stock price volatility, employee exercise patterns (expected life of the options), forfeitures and related tax effects. The assumptions used in calculating the fair value of share-based payment awards represent our best estimates, but these estimates involve inherent uncertainties and the application of management judgment. Share-based compensation expense related to restricted stock unit awards (RSUs) is calculated based on the market price of our common stock on the date of grant, reduced by the present value of dividends expected to be paid on our common stock prior to vesting of the restricted stock unit. The estimated fair value of performance stock unit awards (PSUs) is determined on the grant date using the Monte Carlo simulation valuation model. The Monte Carlo simulation model incorporates assumptions for the risk-free interest rate, Cohu and the selected peer group stock price volatility, the correlation between Cohu and the selected index, and dividend yields. ASC Topic 718 also requires us to recognize the compensation cost of our share-based payment awards in our income statement over the period that an employee, including our executive officers, is required to render service in exchange for the award (which, generally, will correspond to the award’s vesting schedule). We record a provision for equity-based performance units outstanding based on our current assessment of achievement of the performance goals and recognize actual forfeitures as they occur.</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2D53A6"/>
        </w:rPr>
        <w:t>Compensation Committee Report</w:t>
      </w:r>
    </w:p>
    <w:p>
      <w:pPr>
        <w:spacing w:after="0" w:line="200"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The Committee has reviewed and discussed with management the Compensation Discussion and Analysis for 2024. Based on such review and discussions, the Committee recommended to the Board, and the Board has approved, that the Compensation Discussion and Analysis be included in Cohu’s proxy statement for its 2025 Annual Meeting of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This report is submitted by the Compensation Committee.</w:t>
      </w:r>
    </w:p>
    <w:p>
      <w:pPr>
        <w:spacing w:after="0" w:line="198" w:lineRule="exact"/>
        <w:rPr>
          <w:sz w:val="20"/>
          <w:szCs w:val="20"/>
          <w:color w:val="auto"/>
        </w:rPr>
      </w:pPr>
    </w:p>
    <w:p>
      <w:pPr>
        <w:ind w:left="2600"/>
        <w:spacing w:after="0"/>
        <w:tabs>
          <w:tab w:leader="none" w:pos="5120" w:val="left"/>
          <w:tab w:leader="none" w:pos="7100" w:val="left"/>
        </w:tabs>
        <w:rPr>
          <w:sz w:val="20"/>
          <w:szCs w:val="20"/>
          <w:color w:val="auto"/>
        </w:rPr>
      </w:pPr>
      <w:r>
        <w:rPr>
          <w:rFonts w:ascii="Arial" w:cs="Arial" w:eastAsia="Arial" w:hAnsi="Arial"/>
          <w:sz w:val="18"/>
          <w:szCs w:val="18"/>
          <w:color w:val="auto"/>
        </w:rPr>
        <w:t>Steven J. Bilodeau (Chair)</w:t>
      </w:r>
      <w:r>
        <w:rPr>
          <w:sz w:val="20"/>
          <w:szCs w:val="20"/>
          <w:color w:val="auto"/>
        </w:rPr>
        <w:tab/>
      </w:r>
      <w:r>
        <w:rPr>
          <w:rFonts w:ascii="Arial" w:cs="Arial" w:eastAsia="Arial" w:hAnsi="Arial"/>
          <w:sz w:val="18"/>
          <w:szCs w:val="18"/>
          <w:color w:val="auto"/>
        </w:rPr>
        <w:t>Andreas W. Mattes</w:t>
      </w:r>
      <w:r>
        <w:rPr>
          <w:sz w:val="20"/>
          <w:szCs w:val="20"/>
          <w:color w:val="auto"/>
        </w:rPr>
        <w:tab/>
      </w:r>
      <w:r>
        <w:rPr>
          <w:rFonts w:ascii="Arial" w:cs="Arial" w:eastAsia="Arial" w:hAnsi="Arial"/>
          <w:sz w:val="17"/>
          <w:szCs w:val="17"/>
          <w:color w:val="auto"/>
        </w:rPr>
        <w:t>Nina L. Richardson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2024 Summary Compensation Table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compensation information for fiscal year 2024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125095</wp:posOffset>
            </wp:positionV>
            <wp:extent cx="34290" cy="4540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54025"/>
                    </a:xfrm>
                    <a:prstGeom prst="rect">
                      <a:avLst/>
                    </a:prstGeom>
                    <a:noFill/>
                  </pic:spPr>
                </pic:pic>
              </a:graphicData>
            </a:graphic>
          </wp:anchor>
        </w:drawing>
        <w:drawing>
          <wp:anchor simplePos="0" relativeHeight="251657728" behindDoc="1" locked="0" layoutInCell="0" allowOverlap="1">
            <wp:simplePos x="0" y="0"/>
            <wp:positionH relativeFrom="column">
              <wp:posOffset>2615565</wp:posOffset>
            </wp:positionH>
            <wp:positionV relativeFrom="paragraph">
              <wp:posOffset>125095</wp:posOffset>
            </wp:positionV>
            <wp:extent cx="33655" cy="4540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54025"/>
                    </a:xfrm>
                    <a:prstGeom prst="rect">
                      <a:avLst/>
                    </a:prstGeom>
                    <a:noFill/>
                  </pic:spPr>
                </pic:pic>
              </a:graphicData>
            </a:graphic>
          </wp:anchor>
        </w:drawing>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4160" w:type="dxa"/>
            <w:vAlign w:val="bottom"/>
            <w:tcBorders>
              <w:left w:val="single" w:sz="8" w:color="2D53A6"/>
              <w:right w:val="single" w:sz="8" w:color="2D53A6"/>
            </w:tcBorders>
            <w:shd w:val="clear" w:color="auto" w:fill="2D53A6"/>
          </w:tcPr>
          <w:p>
            <w:pPr>
              <w:spacing w:after="0"/>
              <w:rPr>
                <w:sz w:val="14"/>
                <w:szCs w:val="14"/>
                <w:color w:val="auto"/>
              </w:rPr>
            </w:pPr>
          </w:p>
        </w:tc>
        <w:tc>
          <w:tcPr>
            <w:tcW w:w="940" w:type="dxa"/>
            <w:vAlign w:val="bottom"/>
            <w:tcBorders>
              <w:right w:val="single" w:sz="8" w:color="2D53A6"/>
            </w:tcBorders>
            <w:shd w:val="clear" w:color="auto" w:fill="2D53A6"/>
          </w:tcPr>
          <w:p>
            <w:pPr>
              <w:spacing w:after="0"/>
              <w:rPr>
                <w:sz w:val="14"/>
                <w:szCs w:val="14"/>
                <w:color w:val="auto"/>
              </w:rPr>
            </w:pPr>
          </w:p>
        </w:tc>
        <w:tc>
          <w:tcPr>
            <w:tcW w:w="1240" w:type="dxa"/>
            <w:vAlign w:val="bottom"/>
            <w:tcBorders>
              <w:right w:val="single" w:sz="8" w:color="2D53A6"/>
            </w:tcBorders>
            <w:shd w:val="clear" w:color="auto" w:fill="2D53A6"/>
          </w:tcPr>
          <w:p>
            <w:pPr>
              <w:spacing w:after="0"/>
              <w:rPr>
                <w:sz w:val="14"/>
                <w:szCs w:val="14"/>
                <w:color w:val="auto"/>
              </w:rPr>
            </w:pPr>
          </w:p>
        </w:tc>
        <w:tc>
          <w:tcPr>
            <w:tcW w:w="12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12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Non-Equity</w:t>
            </w:r>
          </w:p>
        </w:tc>
        <w:tc>
          <w:tcPr>
            <w:tcW w:w="12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All Other</w:t>
            </w:r>
          </w:p>
        </w:tc>
        <w:tc>
          <w:tcPr>
            <w:tcW w:w="1200" w:type="dxa"/>
            <w:vAlign w:val="bottom"/>
            <w:tcBorders>
              <w:right w:val="single" w:sz="8" w:color="2D53A6"/>
            </w:tcBorders>
            <w:shd w:val="clear" w:color="auto" w:fill="2D53A6"/>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160" w:type="dxa"/>
            <w:vAlign w:val="bottom"/>
            <w:tcBorders>
              <w:left w:val="single" w:sz="8" w:color="2D53A6"/>
              <w:right w:val="single" w:sz="8" w:color="2D53A6"/>
            </w:tcBorders>
            <w:shd w:val="clear" w:color="auto" w:fill="2D53A6"/>
          </w:tcPr>
          <w:p>
            <w:pPr>
              <w:spacing w:after="0"/>
              <w:rPr>
                <w:sz w:val="7"/>
                <w:szCs w:val="7"/>
                <w:color w:val="auto"/>
              </w:rPr>
            </w:pPr>
          </w:p>
        </w:tc>
        <w:tc>
          <w:tcPr>
            <w:tcW w:w="940" w:type="dxa"/>
            <w:vAlign w:val="bottom"/>
            <w:tcBorders>
              <w:right w:val="single" w:sz="8" w:color="2D53A6"/>
            </w:tcBorders>
            <w:shd w:val="clear" w:color="auto" w:fill="2D53A6"/>
          </w:tcPr>
          <w:p>
            <w:pPr>
              <w:spacing w:after="0"/>
              <w:rPr>
                <w:sz w:val="7"/>
                <w:szCs w:val="7"/>
                <w:color w:val="auto"/>
              </w:rPr>
            </w:pPr>
          </w:p>
        </w:tc>
        <w:tc>
          <w:tcPr>
            <w:tcW w:w="1240" w:type="dxa"/>
            <w:vAlign w:val="bottom"/>
            <w:tcBorders>
              <w:right w:val="single" w:sz="8" w:color="2D53A6"/>
            </w:tcBorders>
            <w:vMerge w:val="restart"/>
            <w:shd w:val="clear" w:color="auto" w:fill="2D53A6"/>
          </w:tcPr>
          <w:p>
            <w:pPr>
              <w:jc w:val="right"/>
              <w:ind w:right="348"/>
              <w:spacing w:after="0"/>
              <w:rPr>
                <w:sz w:val="20"/>
                <w:szCs w:val="20"/>
                <w:color w:val="auto"/>
              </w:rPr>
            </w:pPr>
            <w:r>
              <w:rPr>
                <w:rFonts w:ascii="Arial" w:cs="Arial" w:eastAsia="Arial" w:hAnsi="Arial"/>
                <w:sz w:val="14"/>
                <w:szCs w:val="14"/>
                <w:b w:val="1"/>
                <w:bCs w:val="1"/>
                <w:color w:val="FFFFFF"/>
              </w:rPr>
              <w:t>Salary</w:t>
            </w:r>
          </w:p>
        </w:tc>
        <w:tc>
          <w:tcPr>
            <w:tcW w:w="1260" w:type="dxa"/>
            <w:vAlign w:val="bottom"/>
            <w:tcBorders>
              <w:right w:val="single" w:sz="8" w:color="2D53A6"/>
            </w:tcBorders>
            <w:vMerge w:val="continue"/>
            <w:shd w:val="clear" w:color="auto" w:fill="2D53A6"/>
          </w:tcPr>
          <w:p>
            <w:pPr>
              <w:spacing w:after="0"/>
              <w:rPr>
                <w:sz w:val="7"/>
                <w:szCs w:val="7"/>
                <w:color w:val="auto"/>
              </w:rPr>
            </w:pPr>
          </w:p>
        </w:tc>
        <w:tc>
          <w:tcPr>
            <w:tcW w:w="12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Incentive</w:t>
            </w:r>
          </w:p>
        </w:tc>
        <w:tc>
          <w:tcPr>
            <w:tcW w:w="1220" w:type="dxa"/>
            <w:vAlign w:val="bottom"/>
            <w:tcBorders>
              <w:right w:val="single" w:sz="8" w:color="2D53A6"/>
            </w:tcBorders>
            <w:vMerge w:val="continue"/>
            <w:shd w:val="clear" w:color="auto" w:fill="2D53A6"/>
          </w:tcPr>
          <w:p>
            <w:pPr>
              <w:spacing w:after="0"/>
              <w:rPr>
                <w:sz w:val="7"/>
                <w:szCs w:val="7"/>
                <w:color w:val="auto"/>
              </w:rPr>
            </w:pPr>
          </w:p>
        </w:tc>
        <w:tc>
          <w:tcPr>
            <w:tcW w:w="1200" w:type="dxa"/>
            <w:vAlign w:val="bottom"/>
            <w:tcBorders>
              <w:right w:val="single" w:sz="8" w:color="2D53A6"/>
            </w:tcBorders>
            <w:vMerge w:val="restart"/>
            <w:shd w:val="clear" w:color="auto" w:fill="2D53A6"/>
          </w:tcPr>
          <w:p>
            <w:pPr>
              <w:jc w:val="right"/>
              <w:ind w:right="36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81"/>
        </w:trPr>
        <w:tc>
          <w:tcPr>
            <w:tcW w:w="4160" w:type="dxa"/>
            <w:vAlign w:val="bottom"/>
            <w:tcBorders>
              <w:left w:val="single" w:sz="8" w:color="2D53A6"/>
              <w:right w:val="single" w:sz="8" w:color="2D53A6"/>
            </w:tcBorders>
            <w:vMerge w:val="restart"/>
            <w:shd w:val="clear" w:color="auto" w:fill="2D53A6"/>
          </w:tcPr>
          <w:p>
            <w:pPr>
              <w:ind w:left="20"/>
              <w:spacing w:after="0" w:line="159" w:lineRule="exact"/>
              <w:rPr>
                <w:sz w:val="20"/>
                <w:szCs w:val="20"/>
                <w:color w:val="auto"/>
              </w:rPr>
            </w:pPr>
            <w:r>
              <w:rPr>
                <w:rFonts w:ascii="Arial" w:cs="Arial" w:eastAsia="Arial" w:hAnsi="Arial"/>
                <w:sz w:val="14"/>
                <w:szCs w:val="14"/>
                <w:b w:val="1"/>
                <w:bCs w:val="1"/>
                <w:color w:val="FFFFFF"/>
              </w:rPr>
              <w:t>Named Executive Officer</w:t>
            </w:r>
          </w:p>
        </w:tc>
        <w:tc>
          <w:tcPr>
            <w:tcW w:w="940" w:type="dxa"/>
            <w:vAlign w:val="bottom"/>
            <w:tcBorders>
              <w:right w:val="single" w:sz="8" w:color="2D53A6"/>
            </w:tcBorders>
            <w:vMerge w:val="restart"/>
            <w:shd w:val="clear" w:color="auto" w:fill="2D53A6"/>
          </w:tcPr>
          <w:p>
            <w:pPr>
              <w:ind w:left="300"/>
              <w:spacing w:after="0" w:line="159" w:lineRule="exact"/>
              <w:rPr>
                <w:sz w:val="20"/>
                <w:szCs w:val="20"/>
                <w:color w:val="auto"/>
              </w:rPr>
            </w:pPr>
            <w:r>
              <w:rPr>
                <w:rFonts w:ascii="Arial" w:cs="Arial" w:eastAsia="Arial" w:hAnsi="Arial"/>
                <w:sz w:val="14"/>
                <w:szCs w:val="14"/>
                <w:b w:val="1"/>
                <w:bCs w:val="1"/>
                <w:color w:val="FFFFFF"/>
              </w:rPr>
              <w:t>Year</w:t>
            </w:r>
          </w:p>
        </w:tc>
        <w:tc>
          <w:tcPr>
            <w:tcW w:w="1240" w:type="dxa"/>
            <w:vAlign w:val="bottom"/>
            <w:tcBorders>
              <w:right w:val="single" w:sz="8" w:color="2D53A6"/>
            </w:tcBorders>
            <w:vMerge w:val="continue"/>
            <w:shd w:val="clear" w:color="auto" w:fill="2D53A6"/>
          </w:tcPr>
          <w:p>
            <w:pPr>
              <w:spacing w:after="0"/>
              <w:rPr>
                <w:sz w:val="7"/>
                <w:szCs w:val="7"/>
                <w:color w:val="auto"/>
              </w:rPr>
            </w:pPr>
          </w:p>
        </w:tc>
        <w:tc>
          <w:tcPr>
            <w:tcW w:w="126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Awards</w:t>
            </w:r>
          </w:p>
        </w:tc>
        <w:tc>
          <w:tcPr>
            <w:tcW w:w="1220" w:type="dxa"/>
            <w:vAlign w:val="bottom"/>
            <w:tcBorders>
              <w:right w:val="single" w:sz="8" w:color="2D53A6"/>
            </w:tcBorders>
            <w:vMerge w:val="continue"/>
            <w:shd w:val="clear" w:color="auto" w:fill="2D53A6"/>
          </w:tcPr>
          <w:p>
            <w:pPr>
              <w:spacing w:after="0"/>
              <w:rPr>
                <w:sz w:val="7"/>
                <w:szCs w:val="7"/>
                <w:color w:val="auto"/>
              </w:rPr>
            </w:pPr>
          </w:p>
        </w:tc>
        <w:tc>
          <w:tcPr>
            <w:tcW w:w="122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Comp.</w:t>
            </w:r>
          </w:p>
        </w:tc>
        <w:tc>
          <w:tcPr>
            <w:tcW w:w="120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160" w:type="dxa"/>
            <w:vAlign w:val="bottom"/>
            <w:tcBorders>
              <w:left w:val="single" w:sz="8" w:color="2D53A6"/>
              <w:right w:val="single" w:sz="8" w:color="2D53A6"/>
            </w:tcBorders>
            <w:vMerge w:val="continue"/>
            <w:shd w:val="clear" w:color="auto" w:fill="2D53A6"/>
          </w:tcPr>
          <w:p>
            <w:pPr>
              <w:spacing w:after="0"/>
              <w:rPr>
                <w:sz w:val="6"/>
                <w:szCs w:val="6"/>
                <w:color w:val="auto"/>
              </w:rPr>
            </w:pPr>
          </w:p>
        </w:tc>
        <w:tc>
          <w:tcPr>
            <w:tcW w:w="940" w:type="dxa"/>
            <w:vAlign w:val="bottom"/>
            <w:tcBorders>
              <w:right w:val="single" w:sz="8" w:color="2D53A6"/>
            </w:tcBorders>
            <w:vMerge w:val="continue"/>
            <w:shd w:val="clear" w:color="auto" w:fill="2D53A6"/>
          </w:tcPr>
          <w:p>
            <w:pPr>
              <w:spacing w:after="0"/>
              <w:rPr>
                <w:sz w:val="6"/>
                <w:szCs w:val="6"/>
                <w:color w:val="auto"/>
              </w:rPr>
            </w:pPr>
          </w:p>
        </w:tc>
        <w:tc>
          <w:tcPr>
            <w:tcW w:w="1240" w:type="dxa"/>
            <w:vAlign w:val="bottom"/>
            <w:tcBorders>
              <w:right w:val="single" w:sz="8" w:color="2D53A6"/>
            </w:tcBorders>
            <w:vMerge w:val="restart"/>
            <w:shd w:val="clear" w:color="auto" w:fill="2D53A6"/>
          </w:tcPr>
          <w:p>
            <w:pPr>
              <w:jc w:val="right"/>
              <w:ind w:right="468"/>
              <w:spacing w:after="0" w:line="159" w:lineRule="exact"/>
              <w:rPr>
                <w:sz w:val="20"/>
                <w:szCs w:val="20"/>
                <w:color w:val="auto"/>
              </w:rPr>
            </w:pPr>
            <w:r>
              <w:rPr>
                <w:rFonts w:ascii="Arial" w:cs="Arial" w:eastAsia="Arial" w:hAnsi="Arial"/>
                <w:sz w:val="14"/>
                <w:szCs w:val="14"/>
                <w:b w:val="1"/>
                <w:bCs w:val="1"/>
                <w:color w:val="FFFFFF"/>
              </w:rPr>
              <w:t>($)</w:t>
            </w:r>
          </w:p>
        </w:tc>
        <w:tc>
          <w:tcPr>
            <w:tcW w:w="1260" w:type="dxa"/>
            <w:vAlign w:val="bottom"/>
            <w:tcBorders>
              <w:right w:val="single" w:sz="8" w:color="2D53A6"/>
            </w:tcBorders>
            <w:vMerge w:val="continue"/>
            <w:shd w:val="clear" w:color="auto" w:fill="2D53A6"/>
          </w:tcPr>
          <w:p>
            <w:pPr>
              <w:spacing w:after="0"/>
              <w:rPr>
                <w:sz w:val="6"/>
                <w:szCs w:val="6"/>
                <w:color w:val="auto"/>
              </w:rPr>
            </w:pPr>
          </w:p>
        </w:tc>
        <w:tc>
          <w:tcPr>
            <w:tcW w:w="122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Plan Comp.</w:t>
            </w:r>
          </w:p>
        </w:tc>
        <w:tc>
          <w:tcPr>
            <w:tcW w:w="1220" w:type="dxa"/>
            <w:vAlign w:val="bottom"/>
            <w:tcBorders>
              <w:right w:val="single" w:sz="8" w:color="2D53A6"/>
            </w:tcBorders>
            <w:vMerge w:val="continue"/>
            <w:shd w:val="clear" w:color="auto" w:fill="2D53A6"/>
          </w:tcPr>
          <w:p>
            <w:pPr>
              <w:spacing w:after="0"/>
              <w:rPr>
                <w:sz w:val="6"/>
                <w:szCs w:val="6"/>
                <w:color w:val="auto"/>
              </w:rPr>
            </w:pPr>
          </w:p>
        </w:tc>
        <w:tc>
          <w:tcPr>
            <w:tcW w:w="1200" w:type="dxa"/>
            <w:vAlign w:val="bottom"/>
            <w:tcBorders>
              <w:right w:val="single" w:sz="8" w:color="2D53A6"/>
            </w:tcBorders>
            <w:vMerge w:val="restart"/>
            <w:shd w:val="clear" w:color="auto" w:fill="2D53A6"/>
          </w:tcPr>
          <w:p>
            <w:pPr>
              <w:jc w:val="right"/>
              <w:ind w:right="448"/>
              <w:spacing w:after="0" w:line="159" w:lineRule="exact"/>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81"/>
        </w:trPr>
        <w:tc>
          <w:tcPr>
            <w:tcW w:w="4160" w:type="dxa"/>
            <w:vAlign w:val="bottom"/>
            <w:tcBorders>
              <w:left w:val="single" w:sz="8" w:color="2D53A6"/>
              <w:right w:val="single" w:sz="8" w:color="2D53A6"/>
            </w:tcBorders>
            <w:shd w:val="clear" w:color="auto" w:fill="2D53A6"/>
          </w:tcPr>
          <w:p>
            <w:pPr>
              <w:spacing w:after="0"/>
              <w:rPr>
                <w:sz w:val="7"/>
                <w:szCs w:val="7"/>
                <w:color w:val="auto"/>
              </w:rPr>
            </w:pPr>
          </w:p>
        </w:tc>
        <w:tc>
          <w:tcPr>
            <w:tcW w:w="940" w:type="dxa"/>
            <w:vAlign w:val="bottom"/>
            <w:tcBorders>
              <w:right w:val="single" w:sz="8" w:color="2D53A6"/>
            </w:tcBorders>
            <w:shd w:val="clear" w:color="auto" w:fill="2D53A6"/>
          </w:tcPr>
          <w:p>
            <w:pPr>
              <w:spacing w:after="0"/>
              <w:rPr>
                <w:sz w:val="7"/>
                <w:szCs w:val="7"/>
                <w:color w:val="auto"/>
              </w:rPr>
            </w:pPr>
          </w:p>
        </w:tc>
        <w:tc>
          <w:tcPr>
            <w:tcW w:w="1240" w:type="dxa"/>
            <w:vAlign w:val="bottom"/>
            <w:tcBorders>
              <w:right w:val="single" w:sz="8" w:color="2D53A6"/>
            </w:tcBorders>
            <w:vMerge w:val="continue"/>
            <w:shd w:val="clear" w:color="auto" w:fill="2D53A6"/>
          </w:tcPr>
          <w:p>
            <w:pPr>
              <w:spacing w:after="0"/>
              <w:rPr>
                <w:sz w:val="7"/>
                <w:szCs w:val="7"/>
                <w:color w:val="auto"/>
              </w:rPr>
            </w:pPr>
          </w:p>
        </w:tc>
        <w:tc>
          <w:tcPr>
            <w:tcW w:w="1260" w:type="dxa"/>
            <w:vAlign w:val="bottom"/>
            <w:tcBorders>
              <w:right w:val="single" w:sz="8" w:color="2D53A6"/>
            </w:tcBorders>
            <w:vMerge w:val="restart"/>
            <w:shd w:val="clear" w:color="auto" w:fill="2D53A6"/>
          </w:tcPr>
          <w:p>
            <w:pPr>
              <w:jc w:val="center"/>
              <w:spacing w:after="0" w:line="228" w:lineRule="exact"/>
              <w:rPr>
                <w:sz w:val="20"/>
                <w:szCs w:val="20"/>
                <w:color w:val="auto"/>
              </w:rPr>
            </w:pPr>
            <w:r>
              <w:rPr>
                <w:rFonts w:ascii="Arial" w:cs="Arial" w:eastAsia="Arial" w:hAnsi="Arial"/>
                <w:sz w:val="26"/>
                <w:szCs w:val="26"/>
                <w:b w:val="1"/>
                <w:bCs w:val="1"/>
                <w:color w:val="FFFFFF"/>
                <w:w w:val="95"/>
                <w:vertAlign w:val="subscript"/>
              </w:rPr>
              <w:t>($)</w:t>
            </w:r>
            <w:r>
              <w:rPr>
                <w:rFonts w:ascii="Arial" w:cs="Arial" w:eastAsia="Arial" w:hAnsi="Arial"/>
                <w:sz w:val="11"/>
                <w:szCs w:val="11"/>
                <w:b w:val="1"/>
                <w:bCs w:val="1"/>
                <w:color w:val="FFFFFF"/>
                <w:w w:val="95"/>
              </w:rPr>
              <w:t xml:space="preserve"> (1)</w:t>
            </w:r>
          </w:p>
        </w:tc>
        <w:tc>
          <w:tcPr>
            <w:tcW w:w="1220" w:type="dxa"/>
            <w:vAlign w:val="bottom"/>
            <w:tcBorders>
              <w:right w:val="single" w:sz="8" w:color="2D53A6"/>
            </w:tcBorders>
            <w:vMerge w:val="continue"/>
            <w:shd w:val="clear" w:color="auto" w:fill="2D53A6"/>
          </w:tcPr>
          <w:p>
            <w:pPr>
              <w:spacing w:after="0"/>
              <w:rPr>
                <w:sz w:val="7"/>
                <w:szCs w:val="7"/>
                <w:color w:val="auto"/>
              </w:rPr>
            </w:pPr>
          </w:p>
        </w:tc>
        <w:tc>
          <w:tcPr>
            <w:tcW w:w="1220" w:type="dxa"/>
            <w:vAlign w:val="bottom"/>
            <w:tcBorders>
              <w:right w:val="single" w:sz="8" w:color="2D53A6"/>
            </w:tcBorders>
            <w:vMerge w:val="restart"/>
            <w:shd w:val="clear" w:color="auto" w:fill="2D53A6"/>
          </w:tcPr>
          <w:p>
            <w:pPr>
              <w:jc w:val="center"/>
              <w:spacing w:after="0" w:line="228" w:lineRule="exact"/>
              <w:rPr>
                <w:sz w:val="20"/>
                <w:szCs w:val="20"/>
                <w:color w:val="auto"/>
              </w:rPr>
            </w:pPr>
            <w:r>
              <w:rPr>
                <w:rFonts w:ascii="Arial" w:cs="Arial" w:eastAsia="Arial" w:hAnsi="Arial"/>
                <w:sz w:val="26"/>
                <w:szCs w:val="26"/>
                <w:b w:val="1"/>
                <w:bCs w:val="1"/>
                <w:color w:val="FFFFFF"/>
                <w:w w:val="95"/>
                <w:vertAlign w:val="subscript"/>
              </w:rPr>
              <w:t>($)</w:t>
            </w:r>
            <w:r>
              <w:rPr>
                <w:rFonts w:ascii="Arial" w:cs="Arial" w:eastAsia="Arial" w:hAnsi="Arial"/>
                <w:sz w:val="11"/>
                <w:szCs w:val="11"/>
                <w:b w:val="1"/>
                <w:bCs w:val="1"/>
                <w:color w:val="FFFFFF"/>
                <w:w w:val="95"/>
              </w:rPr>
              <w:t xml:space="preserve"> (3)</w:t>
            </w:r>
          </w:p>
        </w:tc>
        <w:tc>
          <w:tcPr>
            <w:tcW w:w="120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160" w:type="dxa"/>
            <w:vAlign w:val="bottom"/>
            <w:tcBorders>
              <w:left w:val="single" w:sz="8" w:color="2D53A6"/>
              <w:bottom w:val="single" w:sz="8" w:color="2D53A6"/>
              <w:right w:val="single" w:sz="8" w:color="2D53A6"/>
            </w:tcBorders>
            <w:shd w:val="clear" w:color="auto" w:fill="2D53A6"/>
          </w:tcPr>
          <w:p>
            <w:pPr>
              <w:spacing w:after="0"/>
              <w:rPr>
                <w:sz w:val="15"/>
                <w:szCs w:val="15"/>
                <w:color w:val="auto"/>
              </w:rPr>
            </w:pPr>
          </w:p>
        </w:tc>
        <w:tc>
          <w:tcPr>
            <w:tcW w:w="940" w:type="dxa"/>
            <w:vAlign w:val="bottom"/>
            <w:tcBorders>
              <w:bottom w:val="single" w:sz="8" w:color="2D53A6"/>
              <w:right w:val="single" w:sz="8" w:color="2D53A6"/>
            </w:tcBorders>
            <w:shd w:val="clear" w:color="auto" w:fill="2D53A6"/>
          </w:tcPr>
          <w:p>
            <w:pPr>
              <w:spacing w:after="0"/>
              <w:rPr>
                <w:sz w:val="15"/>
                <w:szCs w:val="15"/>
                <w:color w:val="auto"/>
              </w:rPr>
            </w:pPr>
          </w:p>
        </w:tc>
        <w:tc>
          <w:tcPr>
            <w:tcW w:w="1240" w:type="dxa"/>
            <w:vAlign w:val="bottom"/>
            <w:tcBorders>
              <w:bottom w:val="single" w:sz="8" w:color="2D53A6"/>
              <w:right w:val="single" w:sz="8" w:color="2D53A6"/>
            </w:tcBorders>
            <w:shd w:val="clear" w:color="auto" w:fill="2D53A6"/>
          </w:tcPr>
          <w:p>
            <w:pPr>
              <w:spacing w:after="0"/>
              <w:rPr>
                <w:sz w:val="15"/>
                <w:szCs w:val="15"/>
                <w:color w:val="auto"/>
              </w:rPr>
            </w:pPr>
          </w:p>
        </w:tc>
        <w:tc>
          <w:tcPr>
            <w:tcW w:w="1260" w:type="dxa"/>
            <w:vAlign w:val="bottom"/>
            <w:tcBorders>
              <w:bottom w:val="single" w:sz="8" w:color="2D53A6"/>
              <w:right w:val="single" w:sz="8" w:color="2D53A6"/>
            </w:tcBorders>
            <w:vMerge w:val="continue"/>
            <w:shd w:val="clear" w:color="auto" w:fill="2D53A6"/>
          </w:tcPr>
          <w:p>
            <w:pPr>
              <w:spacing w:after="0"/>
              <w:rPr>
                <w:sz w:val="15"/>
                <w:szCs w:val="15"/>
                <w:color w:val="auto"/>
              </w:rPr>
            </w:pPr>
          </w:p>
        </w:tc>
        <w:tc>
          <w:tcPr>
            <w:tcW w:w="1220" w:type="dxa"/>
            <w:vAlign w:val="bottom"/>
            <w:tcBorders>
              <w:bottom w:val="single" w:sz="8" w:color="2D53A6"/>
              <w:right w:val="single" w:sz="8" w:color="2D53A6"/>
            </w:tcBorders>
            <w:shd w:val="clear" w:color="auto" w:fill="2D53A6"/>
          </w:tcPr>
          <w:p>
            <w:pPr>
              <w:jc w:val="center"/>
              <w:spacing w:after="0" w:line="175"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0"/>
                <w:szCs w:val="10"/>
                <w:b w:val="1"/>
                <w:bCs w:val="1"/>
                <w:color w:val="FFFFFF"/>
              </w:rPr>
              <w:t xml:space="preserve"> (2)</w:t>
            </w:r>
          </w:p>
        </w:tc>
        <w:tc>
          <w:tcPr>
            <w:tcW w:w="1220" w:type="dxa"/>
            <w:vAlign w:val="bottom"/>
            <w:tcBorders>
              <w:bottom w:val="single" w:sz="8" w:color="2D53A6"/>
              <w:right w:val="single" w:sz="8" w:color="2D53A6"/>
            </w:tcBorders>
            <w:vMerge w:val="continue"/>
            <w:shd w:val="clear" w:color="auto" w:fill="2D53A6"/>
          </w:tcPr>
          <w:p>
            <w:pPr>
              <w:spacing w:after="0"/>
              <w:rPr>
                <w:sz w:val="15"/>
                <w:szCs w:val="15"/>
                <w:color w:val="auto"/>
              </w:rPr>
            </w:pPr>
          </w:p>
        </w:tc>
        <w:tc>
          <w:tcPr>
            <w:tcW w:w="1200" w:type="dxa"/>
            <w:vAlign w:val="bottom"/>
            <w:tcBorders>
              <w:bottom w:val="single" w:sz="8" w:color="2D53A6"/>
              <w:right w:val="single" w:sz="8" w:color="2D53A6"/>
            </w:tcBorders>
            <w:shd w:val="clear" w:color="auto" w:fill="2D53A6"/>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160" w:type="dxa"/>
            <w:vAlign w:val="bottom"/>
            <w:tcBorders>
              <w:top w:val="single" w:sz="8" w:color="2D53A6"/>
              <w:left w:val="single" w:sz="8" w:color="2D53A6"/>
              <w:right w:val="single" w:sz="8" w:color="2D53A6"/>
            </w:tcBorders>
          </w:tcPr>
          <w:p>
            <w:pPr>
              <w:ind w:left="20"/>
              <w:spacing w:after="0" w:line="147" w:lineRule="exact"/>
              <w:rPr>
                <w:sz w:val="20"/>
                <w:szCs w:val="20"/>
                <w:color w:val="auto"/>
              </w:rPr>
            </w:pPr>
            <w:r>
              <w:rPr>
                <w:rFonts w:ascii="Arial" w:cs="Arial" w:eastAsia="Arial" w:hAnsi="Arial"/>
                <w:sz w:val="14"/>
                <w:szCs w:val="14"/>
                <w:color w:val="auto"/>
              </w:rPr>
              <w:t>Luis A. Müller</w:t>
            </w:r>
          </w:p>
        </w:tc>
        <w:tc>
          <w:tcPr>
            <w:tcW w:w="940" w:type="dxa"/>
            <w:vAlign w:val="bottom"/>
            <w:tcBorders>
              <w:top w:val="single" w:sz="8" w:color="auto"/>
              <w:right w:val="single" w:sz="8" w:color="2D53A6"/>
            </w:tcBorders>
          </w:tcPr>
          <w:p>
            <w:pPr>
              <w:ind w:left="300"/>
              <w:spacing w:after="0" w:line="147" w:lineRule="exact"/>
              <w:rPr>
                <w:sz w:val="20"/>
                <w:szCs w:val="20"/>
                <w:color w:val="auto"/>
              </w:rPr>
            </w:pPr>
            <w:r>
              <w:rPr>
                <w:rFonts w:ascii="Arial" w:cs="Arial" w:eastAsia="Arial" w:hAnsi="Arial"/>
                <w:sz w:val="14"/>
                <w:szCs w:val="14"/>
                <w:color w:val="auto"/>
              </w:rPr>
              <w:t>2024</w:t>
            </w:r>
          </w:p>
        </w:tc>
        <w:tc>
          <w:tcPr>
            <w:tcW w:w="1240" w:type="dxa"/>
            <w:vAlign w:val="bottom"/>
            <w:tcBorders>
              <w:top w:val="single" w:sz="8" w:color="2D53A6"/>
              <w:right w:val="single" w:sz="8" w:color="2D53A6"/>
            </w:tcBorders>
          </w:tcPr>
          <w:p>
            <w:pPr>
              <w:jc w:val="right"/>
              <w:ind w:right="48"/>
              <w:spacing w:after="0" w:line="147" w:lineRule="exact"/>
              <w:rPr>
                <w:sz w:val="20"/>
                <w:szCs w:val="20"/>
                <w:color w:val="auto"/>
              </w:rPr>
            </w:pPr>
            <w:r>
              <w:rPr>
                <w:rFonts w:ascii="Arial" w:cs="Arial" w:eastAsia="Arial" w:hAnsi="Arial"/>
                <w:sz w:val="14"/>
                <w:szCs w:val="14"/>
                <w:color w:val="auto"/>
              </w:rPr>
              <w:t>715,000</w:t>
            </w:r>
          </w:p>
        </w:tc>
        <w:tc>
          <w:tcPr>
            <w:tcW w:w="1260" w:type="dxa"/>
            <w:vAlign w:val="bottom"/>
            <w:tcBorders>
              <w:top w:val="single" w:sz="8" w:color="2D53A6"/>
              <w:right w:val="single" w:sz="8" w:color="2D53A6"/>
            </w:tcBorders>
          </w:tcPr>
          <w:p>
            <w:pPr>
              <w:jc w:val="right"/>
              <w:ind w:right="49"/>
              <w:spacing w:after="0" w:line="147" w:lineRule="exact"/>
              <w:rPr>
                <w:sz w:val="20"/>
                <w:szCs w:val="20"/>
                <w:color w:val="auto"/>
              </w:rPr>
            </w:pPr>
            <w:r>
              <w:rPr>
                <w:rFonts w:ascii="Arial" w:cs="Arial" w:eastAsia="Arial" w:hAnsi="Arial"/>
                <w:sz w:val="14"/>
                <w:szCs w:val="14"/>
                <w:color w:val="auto"/>
              </w:rPr>
              <w:t>4,091,920</w:t>
            </w:r>
          </w:p>
        </w:tc>
        <w:tc>
          <w:tcPr>
            <w:tcW w:w="1220" w:type="dxa"/>
            <w:vAlign w:val="bottom"/>
            <w:tcBorders>
              <w:top w:val="single" w:sz="8" w:color="2D53A6"/>
              <w:right w:val="single" w:sz="8" w:color="2D53A6"/>
            </w:tcBorders>
          </w:tcPr>
          <w:p>
            <w:pPr>
              <w:jc w:val="right"/>
              <w:ind w:right="49"/>
              <w:spacing w:after="0" w:line="147"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2D53A6"/>
              <w:right w:val="single" w:sz="8" w:color="2D53A6"/>
            </w:tcBorders>
          </w:tcPr>
          <w:p>
            <w:pPr>
              <w:jc w:val="right"/>
              <w:ind w:right="49"/>
              <w:spacing w:after="0" w:line="147" w:lineRule="exact"/>
              <w:rPr>
                <w:sz w:val="20"/>
                <w:szCs w:val="20"/>
                <w:color w:val="auto"/>
              </w:rPr>
            </w:pPr>
            <w:r>
              <w:rPr>
                <w:rFonts w:ascii="Arial" w:cs="Arial" w:eastAsia="Arial" w:hAnsi="Arial"/>
                <w:sz w:val="14"/>
                <w:szCs w:val="14"/>
                <w:color w:val="auto"/>
              </w:rPr>
              <w:t>24,164</w:t>
            </w:r>
          </w:p>
        </w:tc>
        <w:tc>
          <w:tcPr>
            <w:tcW w:w="1200" w:type="dxa"/>
            <w:vAlign w:val="bottom"/>
            <w:tcBorders>
              <w:top w:val="single" w:sz="8" w:color="2D53A6"/>
              <w:right w:val="single" w:sz="8" w:color="2D53A6"/>
            </w:tcBorders>
          </w:tcPr>
          <w:p>
            <w:pPr>
              <w:jc w:val="right"/>
              <w:ind w:right="28"/>
              <w:spacing w:after="0" w:line="147" w:lineRule="exact"/>
              <w:rPr>
                <w:sz w:val="20"/>
                <w:szCs w:val="20"/>
                <w:color w:val="auto"/>
              </w:rPr>
            </w:pPr>
            <w:r>
              <w:rPr>
                <w:rFonts w:ascii="Arial" w:cs="Arial" w:eastAsia="Arial" w:hAnsi="Arial"/>
                <w:sz w:val="14"/>
                <w:szCs w:val="14"/>
                <w:color w:val="auto"/>
              </w:rPr>
              <w:t>4,831,084</w:t>
            </w:r>
          </w:p>
        </w:tc>
        <w:tc>
          <w:tcPr>
            <w:tcW w:w="0" w:type="dxa"/>
            <w:vAlign w:val="bottom"/>
          </w:tcPr>
          <w:p>
            <w:pPr>
              <w:spacing w:after="0"/>
              <w:rPr>
                <w:sz w:val="1"/>
                <w:szCs w:val="1"/>
                <w:color w:val="auto"/>
              </w:rPr>
            </w:pPr>
          </w:p>
        </w:tc>
      </w:tr>
      <w:tr>
        <w:trPr>
          <w:trHeight w:val="162"/>
        </w:trPr>
        <w:tc>
          <w:tcPr>
            <w:tcW w:w="4160" w:type="dxa"/>
            <w:vAlign w:val="bottom"/>
            <w:tcBorders>
              <w:left w:val="single" w:sz="8" w:color="2D53A6"/>
              <w:right w:val="single" w:sz="8" w:color="2D53A6"/>
            </w:tcBorders>
          </w:tcPr>
          <w:p>
            <w:pPr>
              <w:ind w:left="20"/>
              <w:spacing w:after="0"/>
              <w:rPr>
                <w:sz w:val="20"/>
                <w:szCs w:val="20"/>
                <w:color w:val="auto"/>
              </w:rPr>
            </w:pPr>
            <w:r>
              <w:rPr>
                <w:rFonts w:ascii="Arial" w:cs="Arial" w:eastAsia="Arial" w:hAnsi="Arial"/>
                <w:sz w:val="14"/>
                <w:szCs w:val="14"/>
                <w:i w:val="1"/>
                <w:iCs w:val="1"/>
                <w:color w:val="auto"/>
              </w:rPr>
              <w:t>President &amp;</w:t>
            </w:r>
          </w:p>
        </w:tc>
        <w:tc>
          <w:tcPr>
            <w:tcW w:w="940" w:type="dxa"/>
            <w:vAlign w:val="bottom"/>
            <w:tcBorders>
              <w:right w:val="single" w:sz="8" w:color="2D53A6"/>
            </w:tcBorders>
          </w:tcPr>
          <w:p>
            <w:pPr>
              <w:ind w:left="300"/>
              <w:spacing w:after="0"/>
              <w:rPr>
                <w:sz w:val="20"/>
                <w:szCs w:val="20"/>
                <w:color w:val="auto"/>
              </w:rPr>
            </w:pPr>
            <w:r>
              <w:rPr>
                <w:rFonts w:ascii="Arial" w:cs="Arial" w:eastAsia="Arial" w:hAnsi="Arial"/>
                <w:sz w:val="14"/>
                <w:szCs w:val="14"/>
                <w:color w:val="auto"/>
              </w:rPr>
              <w:t>2023</w:t>
            </w:r>
          </w:p>
        </w:tc>
        <w:tc>
          <w:tcPr>
            <w:tcW w:w="1240" w:type="dxa"/>
            <w:vAlign w:val="bottom"/>
            <w:tcBorders>
              <w:right w:val="single" w:sz="8" w:color="2D53A6"/>
            </w:tcBorders>
          </w:tcPr>
          <w:p>
            <w:pPr>
              <w:jc w:val="right"/>
              <w:ind w:right="48"/>
              <w:spacing w:after="0"/>
              <w:rPr>
                <w:sz w:val="20"/>
                <w:szCs w:val="20"/>
                <w:color w:val="auto"/>
              </w:rPr>
            </w:pPr>
            <w:r>
              <w:rPr>
                <w:rFonts w:ascii="Arial" w:cs="Arial" w:eastAsia="Arial" w:hAnsi="Arial"/>
                <w:sz w:val="14"/>
                <w:szCs w:val="14"/>
                <w:color w:val="auto"/>
              </w:rPr>
              <w:t>708,846</w:t>
            </w:r>
          </w:p>
        </w:tc>
        <w:tc>
          <w:tcPr>
            <w:tcW w:w="1260" w:type="dxa"/>
            <w:vAlign w:val="bottom"/>
            <w:tcBorders>
              <w:right w:val="single" w:sz="8" w:color="2D53A6"/>
            </w:tcBorders>
          </w:tcPr>
          <w:p>
            <w:pPr>
              <w:jc w:val="right"/>
              <w:ind w:right="49"/>
              <w:spacing w:after="0"/>
              <w:rPr>
                <w:sz w:val="20"/>
                <w:szCs w:val="20"/>
                <w:color w:val="auto"/>
              </w:rPr>
            </w:pPr>
            <w:r>
              <w:rPr>
                <w:rFonts w:ascii="Arial" w:cs="Arial" w:eastAsia="Arial" w:hAnsi="Arial"/>
                <w:sz w:val="14"/>
                <w:szCs w:val="14"/>
                <w:color w:val="auto"/>
              </w:rPr>
              <w:t>5,051,219</w:t>
            </w:r>
          </w:p>
        </w:tc>
        <w:tc>
          <w:tcPr>
            <w:tcW w:w="1220" w:type="dxa"/>
            <w:vAlign w:val="bottom"/>
            <w:tcBorders>
              <w:right w:val="single" w:sz="8" w:color="2D53A6"/>
            </w:tcBorders>
          </w:tcPr>
          <w:p>
            <w:pPr>
              <w:jc w:val="right"/>
              <w:ind w:right="49"/>
              <w:spacing w:after="0"/>
              <w:rPr>
                <w:sz w:val="20"/>
                <w:szCs w:val="20"/>
                <w:color w:val="auto"/>
              </w:rPr>
            </w:pPr>
            <w:r>
              <w:rPr>
                <w:rFonts w:ascii="Arial" w:cs="Arial" w:eastAsia="Arial" w:hAnsi="Arial"/>
                <w:sz w:val="14"/>
                <w:szCs w:val="14"/>
                <w:color w:val="auto"/>
              </w:rPr>
              <w:t>752,378</w:t>
            </w:r>
          </w:p>
        </w:tc>
        <w:tc>
          <w:tcPr>
            <w:tcW w:w="1220" w:type="dxa"/>
            <w:vAlign w:val="bottom"/>
            <w:tcBorders>
              <w:right w:val="single" w:sz="8" w:color="2D53A6"/>
            </w:tcBorders>
          </w:tcPr>
          <w:p>
            <w:pPr>
              <w:jc w:val="right"/>
              <w:ind w:right="49"/>
              <w:spacing w:after="0"/>
              <w:rPr>
                <w:sz w:val="20"/>
                <w:szCs w:val="20"/>
                <w:color w:val="auto"/>
              </w:rPr>
            </w:pPr>
            <w:r>
              <w:rPr>
                <w:rFonts w:ascii="Arial" w:cs="Arial" w:eastAsia="Arial" w:hAnsi="Arial"/>
                <w:sz w:val="14"/>
                <w:szCs w:val="14"/>
                <w:color w:val="auto"/>
              </w:rPr>
              <w:t>24,164</w:t>
            </w:r>
          </w:p>
        </w:tc>
        <w:tc>
          <w:tcPr>
            <w:tcW w:w="1200" w:type="dxa"/>
            <w:vAlign w:val="bottom"/>
            <w:tcBorders>
              <w:right w:val="single" w:sz="8" w:color="2D53A6"/>
            </w:tcBorders>
          </w:tcPr>
          <w:p>
            <w:pPr>
              <w:jc w:val="right"/>
              <w:ind w:right="28"/>
              <w:spacing w:after="0"/>
              <w:rPr>
                <w:sz w:val="20"/>
                <w:szCs w:val="20"/>
                <w:color w:val="auto"/>
              </w:rPr>
            </w:pPr>
            <w:r>
              <w:rPr>
                <w:rFonts w:ascii="Arial" w:cs="Arial" w:eastAsia="Arial" w:hAnsi="Arial"/>
                <w:sz w:val="14"/>
                <w:szCs w:val="14"/>
                <w:color w:val="auto"/>
              </w:rPr>
              <w:t>6,536,607</w:t>
            </w:r>
          </w:p>
        </w:tc>
        <w:tc>
          <w:tcPr>
            <w:tcW w:w="0" w:type="dxa"/>
            <w:vAlign w:val="bottom"/>
          </w:tcPr>
          <w:p>
            <w:pPr>
              <w:spacing w:after="0"/>
              <w:rPr>
                <w:sz w:val="1"/>
                <w:szCs w:val="1"/>
                <w:color w:val="auto"/>
              </w:rPr>
            </w:pPr>
          </w:p>
        </w:tc>
      </w:tr>
      <w:tr>
        <w:trPr>
          <w:trHeight w:val="171"/>
        </w:trPr>
        <w:tc>
          <w:tcPr>
            <w:tcW w:w="4160" w:type="dxa"/>
            <w:vAlign w:val="bottom"/>
            <w:tcBorders>
              <w:left w:val="single" w:sz="8" w:color="2D53A6"/>
              <w:bottom w:val="single" w:sz="8" w:color="2D53A6"/>
              <w:right w:val="single" w:sz="8" w:color="2D53A6"/>
            </w:tcBorders>
          </w:tcPr>
          <w:p>
            <w:pPr>
              <w:ind w:left="20"/>
              <w:spacing w:after="0"/>
              <w:rPr>
                <w:sz w:val="20"/>
                <w:szCs w:val="20"/>
                <w:color w:val="auto"/>
              </w:rPr>
            </w:pPr>
            <w:r>
              <w:rPr>
                <w:rFonts w:ascii="Arial" w:cs="Arial" w:eastAsia="Arial" w:hAnsi="Arial"/>
                <w:sz w:val="14"/>
                <w:szCs w:val="14"/>
                <w:i w:val="1"/>
                <w:iCs w:val="1"/>
                <w:color w:val="auto"/>
              </w:rPr>
              <w:t>Chief Executive Officer</w:t>
            </w:r>
          </w:p>
        </w:tc>
        <w:tc>
          <w:tcPr>
            <w:tcW w:w="940" w:type="dxa"/>
            <w:vAlign w:val="bottom"/>
            <w:tcBorders>
              <w:bottom w:val="single" w:sz="8" w:color="2D53A6"/>
              <w:right w:val="single" w:sz="8" w:color="2D53A6"/>
            </w:tcBorders>
          </w:tcPr>
          <w:p>
            <w:pPr>
              <w:ind w:left="300"/>
              <w:spacing w:after="0"/>
              <w:rPr>
                <w:sz w:val="20"/>
                <w:szCs w:val="20"/>
                <w:color w:val="auto"/>
              </w:rPr>
            </w:pPr>
            <w:r>
              <w:rPr>
                <w:rFonts w:ascii="Arial" w:cs="Arial" w:eastAsia="Arial" w:hAnsi="Arial"/>
                <w:sz w:val="14"/>
                <w:szCs w:val="14"/>
                <w:color w:val="auto"/>
              </w:rPr>
              <w:t>2022</w:t>
            </w:r>
          </w:p>
        </w:tc>
        <w:tc>
          <w:tcPr>
            <w:tcW w:w="124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667,307</w:t>
            </w:r>
          </w:p>
        </w:tc>
        <w:tc>
          <w:tcPr>
            <w:tcW w:w="126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3,321,901</w:t>
            </w:r>
          </w:p>
        </w:tc>
        <w:tc>
          <w:tcPr>
            <w:tcW w:w="122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1,303,528</w:t>
            </w:r>
          </w:p>
        </w:tc>
        <w:tc>
          <w:tcPr>
            <w:tcW w:w="122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22,550</w:t>
            </w:r>
          </w:p>
        </w:tc>
        <w:tc>
          <w:tcPr>
            <w:tcW w:w="120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5,315,286</w:t>
            </w:r>
          </w:p>
        </w:tc>
        <w:tc>
          <w:tcPr>
            <w:tcW w:w="0" w:type="dxa"/>
            <w:vAlign w:val="bottom"/>
          </w:tcPr>
          <w:p>
            <w:pPr>
              <w:spacing w:after="0"/>
              <w:rPr>
                <w:sz w:val="1"/>
                <w:szCs w:val="1"/>
                <w:color w:val="auto"/>
              </w:rPr>
            </w:pPr>
          </w:p>
        </w:tc>
      </w:tr>
      <w:tr>
        <w:trPr>
          <w:trHeight w:val="156"/>
        </w:trPr>
        <w:tc>
          <w:tcPr>
            <w:tcW w:w="4160" w:type="dxa"/>
            <w:vAlign w:val="bottom"/>
            <w:tcBorders>
              <w:left w:val="single" w:sz="8" w:color="2D53A6"/>
              <w:right w:val="single" w:sz="8" w:color="2D53A6"/>
            </w:tcBorders>
            <w:shd w:val="clear" w:color="auto" w:fill="E6E6E6"/>
          </w:tcPr>
          <w:p>
            <w:pPr>
              <w:ind w:left="20"/>
              <w:spacing w:after="0" w:line="155" w:lineRule="exact"/>
              <w:rPr>
                <w:sz w:val="20"/>
                <w:szCs w:val="20"/>
                <w:color w:val="auto"/>
              </w:rPr>
            </w:pPr>
            <w:r>
              <w:rPr>
                <w:rFonts w:ascii="Arial" w:cs="Arial" w:eastAsia="Arial" w:hAnsi="Arial"/>
                <w:sz w:val="14"/>
                <w:szCs w:val="14"/>
                <w:color w:val="auto"/>
              </w:rPr>
              <w:t>Jeffrey D. Jones</w:t>
            </w:r>
          </w:p>
        </w:tc>
        <w:tc>
          <w:tcPr>
            <w:tcW w:w="940" w:type="dxa"/>
            <w:vAlign w:val="bottom"/>
            <w:tcBorders>
              <w:right w:val="single" w:sz="8" w:color="2D53A6"/>
            </w:tcBorders>
            <w:shd w:val="clear" w:color="auto" w:fill="E6E6E6"/>
          </w:tcPr>
          <w:p>
            <w:pPr>
              <w:ind w:left="300"/>
              <w:spacing w:after="0" w:line="155" w:lineRule="exact"/>
              <w:rPr>
                <w:sz w:val="20"/>
                <w:szCs w:val="20"/>
                <w:color w:val="auto"/>
              </w:rPr>
            </w:pPr>
            <w:r>
              <w:rPr>
                <w:rFonts w:ascii="Arial" w:cs="Arial" w:eastAsia="Arial" w:hAnsi="Arial"/>
                <w:sz w:val="14"/>
                <w:szCs w:val="14"/>
                <w:color w:val="auto"/>
              </w:rPr>
              <w:t>2024</w:t>
            </w:r>
          </w:p>
        </w:tc>
        <w:tc>
          <w:tcPr>
            <w:tcW w:w="1240" w:type="dxa"/>
            <w:vAlign w:val="bottom"/>
            <w:tcBorders>
              <w:right w:val="single" w:sz="8" w:color="2D53A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455,000</w:t>
            </w:r>
          </w:p>
        </w:tc>
        <w:tc>
          <w:tcPr>
            <w:tcW w:w="1260" w:type="dxa"/>
            <w:vAlign w:val="bottom"/>
            <w:tcBorders>
              <w:right w:val="single" w:sz="8" w:color="2D53A6"/>
            </w:tcBorders>
            <w:shd w:val="clear" w:color="auto" w:fill="E6E6E6"/>
          </w:tcPr>
          <w:p>
            <w:pPr>
              <w:jc w:val="right"/>
              <w:ind w:right="49"/>
              <w:spacing w:after="0" w:line="155" w:lineRule="exact"/>
              <w:rPr>
                <w:sz w:val="20"/>
                <w:szCs w:val="20"/>
                <w:color w:val="auto"/>
              </w:rPr>
            </w:pPr>
            <w:r>
              <w:rPr>
                <w:rFonts w:ascii="Arial" w:cs="Arial" w:eastAsia="Arial" w:hAnsi="Arial"/>
                <w:sz w:val="14"/>
                <w:szCs w:val="14"/>
                <w:color w:val="auto"/>
              </w:rPr>
              <w:t>1,350,312</w:t>
            </w:r>
          </w:p>
        </w:tc>
        <w:tc>
          <w:tcPr>
            <w:tcW w:w="1220" w:type="dxa"/>
            <w:vAlign w:val="bottom"/>
            <w:tcBorders>
              <w:right w:val="single" w:sz="8" w:color="2D53A6"/>
            </w:tcBorders>
            <w:shd w:val="clear" w:color="auto" w:fill="E6E6E6"/>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right w:val="single" w:sz="8" w:color="2D53A6"/>
            </w:tcBorders>
            <w:shd w:val="clear" w:color="auto" w:fill="E6E6E6"/>
          </w:tcPr>
          <w:p>
            <w:pPr>
              <w:jc w:val="right"/>
              <w:ind w:right="49"/>
              <w:spacing w:after="0" w:line="155" w:lineRule="exact"/>
              <w:rPr>
                <w:sz w:val="20"/>
                <w:szCs w:val="20"/>
                <w:color w:val="auto"/>
              </w:rPr>
            </w:pPr>
            <w:r>
              <w:rPr>
                <w:rFonts w:ascii="Arial" w:cs="Arial" w:eastAsia="Arial" w:hAnsi="Arial"/>
                <w:sz w:val="14"/>
                <w:szCs w:val="14"/>
                <w:color w:val="auto"/>
              </w:rPr>
              <w:t>21,043</w:t>
            </w:r>
          </w:p>
        </w:tc>
        <w:tc>
          <w:tcPr>
            <w:tcW w:w="1200" w:type="dxa"/>
            <w:vAlign w:val="bottom"/>
            <w:tcBorders>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1,826,355</w:t>
            </w:r>
          </w:p>
        </w:tc>
        <w:tc>
          <w:tcPr>
            <w:tcW w:w="0" w:type="dxa"/>
            <w:vAlign w:val="bottom"/>
          </w:tcPr>
          <w:p>
            <w:pPr>
              <w:spacing w:after="0"/>
              <w:rPr>
                <w:sz w:val="1"/>
                <w:szCs w:val="1"/>
                <w:color w:val="auto"/>
              </w:rPr>
            </w:pPr>
          </w:p>
        </w:tc>
      </w:tr>
      <w:tr>
        <w:trPr>
          <w:trHeight w:val="162"/>
        </w:trPr>
        <w:tc>
          <w:tcPr>
            <w:tcW w:w="4160" w:type="dxa"/>
            <w:vAlign w:val="bottom"/>
            <w:tcBorders>
              <w:left w:val="single" w:sz="8" w:color="2D53A6"/>
              <w:right w:val="single" w:sz="8" w:color="2D53A6"/>
            </w:tcBorders>
            <w:shd w:val="clear" w:color="auto" w:fill="E6E6E6"/>
          </w:tcPr>
          <w:p>
            <w:pPr>
              <w:ind w:left="20"/>
              <w:spacing w:after="0"/>
              <w:rPr>
                <w:sz w:val="20"/>
                <w:szCs w:val="20"/>
                <w:color w:val="auto"/>
              </w:rPr>
            </w:pPr>
            <w:r>
              <w:rPr>
                <w:rFonts w:ascii="Arial" w:cs="Arial" w:eastAsia="Arial" w:hAnsi="Arial"/>
                <w:sz w:val="14"/>
                <w:szCs w:val="14"/>
                <w:i w:val="1"/>
                <w:iCs w:val="1"/>
                <w:color w:val="auto"/>
              </w:rPr>
              <w:t>Sr. Vice President, Finance &amp;</w:t>
            </w:r>
          </w:p>
        </w:tc>
        <w:tc>
          <w:tcPr>
            <w:tcW w:w="940" w:type="dxa"/>
            <w:vAlign w:val="bottom"/>
            <w:tcBorders>
              <w:right w:val="single" w:sz="8" w:color="2D53A6"/>
            </w:tcBorders>
            <w:shd w:val="clear" w:color="auto" w:fill="E6E6E6"/>
          </w:tcPr>
          <w:p>
            <w:pPr>
              <w:ind w:left="300"/>
              <w:spacing w:after="0"/>
              <w:rPr>
                <w:sz w:val="20"/>
                <w:szCs w:val="20"/>
                <w:color w:val="auto"/>
              </w:rPr>
            </w:pPr>
            <w:r>
              <w:rPr>
                <w:rFonts w:ascii="Arial" w:cs="Arial" w:eastAsia="Arial" w:hAnsi="Arial"/>
                <w:sz w:val="14"/>
                <w:szCs w:val="14"/>
                <w:color w:val="auto"/>
              </w:rPr>
              <w:t>2023</w:t>
            </w:r>
          </w:p>
        </w:tc>
        <w:tc>
          <w:tcPr>
            <w:tcW w:w="1240" w:type="dxa"/>
            <w:vAlign w:val="bottom"/>
            <w:tcBorders>
              <w:right w:val="single" w:sz="8" w:color="2D53A6"/>
            </w:tcBorders>
            <w:shd w:val="clear" w:color="auto" w:fill="E6E6E6"/>
          </w:tcPr>
          <w:p>
            <w:pPr>
              <w:jc w:val="right"/>
              <w:ind w:right="48"/>
              <w:spacing w:after="0"/>
              <w:rPr>
                <w:sz w:val="20"/>
                <w:szCs w:val="20"/>
                <w:color w:val="auto"/>
              </w:rPr>
            </w:pPr>
            <w:r>
              <w:rPr>
                <w:rFonts w:ascii="Arial" w:cs="Arial" w:eastAsia="Arial" w:hAnsi="Arial"/>
                <w:sz w:val="14"/>
                <w:szCs w:val="14"/>
                <w:color w:val="auto"/>
              </w:rPr>
              <w:t>452,231</w:t>
            </w:r>
          </w:p>
        </w:tc>
        <w:tc>
          <w:tcPr>
            <w:tcW w:w="1260" w:type="dxa"/>
            <w:vAlign w:val="bottom"/>
            <w:tcBorders>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1,666,891</w:t>
            </w:r>
          </w:p>
        </w:tc>
        <w:tc>
          <w:tcPr>
            <w:tcW w:w="1220" w:type="dxa"/>
            <w:vAlign w:val="bottom"/>
            <w:tcBorders>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326,445</w:t>
            </w:r>
          </w:p>
        </w:tc>
        <w:tc>
          <w:tcPr>
            <w:tcW w:w="1220" w:type="dxa"/>
            <w:vAlign w:val="bottom"/>
            <w:tcBorders>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21,043</w:t>
            </w:r>
          </w:p>
        </w:tc>
        <w:tc>
          <w:tcPr>
            <w:tcW w:w="1200" w:type="dxa"/>
            <w:vAlign w:val="bottom"/>
            <w:tcBorders>
              <w:right w:val="single" w:sz="8" w:color="2D53A6"/>
            </w:tcBorders>
            <w:shd w:val="clear" w:color="auto" w:fill="E6E6E6"/>
          </w:tcPr>
          <w:p>
            <w:pPr>
              <w:jc w:val="right"/>
              <w:ind w:right="28"/>
              <w:spacing w:after="0"/>
              <w:rPr>
                <w:sz w:val="20"/>
                <w:szCs w:val="20"/>
                <w:color w:val="auto"/>
              </w:rPr>
            </w:pPr>
            <w:r>
              <w:rPr>
                <w:rFonts w:ascii="Arial" w:cs="Arial" w:eastAsia="Arial" w:hAnsi="Arial"/>
                <w:sz w:val="14"/>
                <w:szCs w:val="14"/>
                <w:color w:val="auto"/>
              </w:rPr>
              <w:t>2,466,610</w:t>
            </w:r>
          </w:p>
        </w:tc>
        <w:tc>
          <w:tcPr>
            <w:tcW w:w="0" w:type="dxa"/>
            <w:vAlign w:val="bottom"/>
          </w:tcPr>
          <w:p>
            <w:pPr>
              <w:spacing w:after="0"/>
              <w:rPr>
                <w:sz w:val="1"/>
                <w:szCs w:val="1"/>
                <w:color w:val="auto"/>
              </w:rPr>
            </w:pPr>
          </w:p>
        </w:tc>
      </w:tr>
      <w:tr>
        <w:trPr>
          <w:trHeight w:val="162"/>
        </w:trPr>
        <w:tc>
          <w:tcPr>
            <w:tcW w:w="4160" w:type="dxa"/>
            <w:vAlign w:val="bottom"/>
            <w:tcBorders>
              <w:left w:val="single" w:sz="8" w:color="2D53A6"/>
              <w:bottom w:val="single" w:sz="8" w:color="2D53A6"/>
              <w:right w:val="single" w:sz="8" w:color="2D53A6"/>
            </w:tcBorders>
            <w:shd w:val="clear" w:color="auto" w:fill="E6E6E6"/>
          </w:tcPr>
          <w:p>
            <w:pPr>
              <w:ind w:left="20"/>
              <w:spacing w:after="0"/>
              <w:rPr>
                <w:sz w:val="20"/>
                <w:szCs w:val="20"/>
                <w:color w:val="auto"/>
              </w:rPr>
            </w:pPr>
            <w:r>
              <w:rPr>
                <w:rFonts w:ascii="Arial" w:cs="Arial" w:eastAsia="Arial" w:hAnsi="Arial"/>
                <w:sz w:val="14"/>
                <w:szCs w:val="14"/>
                <w:i w:val="1"/>
                <w:iCs w:val="1"/>
                <w:color w:val="auto"/>
              </w:rPr>
              <w:t>Chief Financial Officer</w:t>
            </w:r>
          </w:p>
        </w:tc>
        <w:tc>
          <w:tcPr>
            <w:tcW w:w="940" w:type="dxa"/>
            <w:vAlign w:val="bottom"/>
            <w:tcBorders>
              <w:bottom w:val="single" w:sz="8" w:color="2D53A6"/>
              <w:right w:val="single" w:sz="8" w:color="2D53A6"/>
            </w:tcBorders>
            <w:shd w:val="clear" w:color="auto" w:fill="E6E6E6"/>
          </w:tcPr>
          <w:p>
            <w:pPr>
              <w:ind w:left="300"/>
              <w:spacing w:after="0"/>
              <w:rPr>
                <w:sz w:val="20"/>
                <w:szCs w:val="20"/>
                <w:color w:val="auto"/>
              </w:rPr>
            </w:pPr>
            <w:r>
              <w:rPr>
                <w:rFonts w:ascii="Arial" w:cs="Arial" w:eastAsia="Arial" w:hAnsi="Arial"/>
                <w:sz w:val="14"/>
                <w:szCs w:val="14"/>
                <w:color w:val="auto"/>
              </w:rPr>
              <w:t>2022</w:t>
            </w:r>
          </w:p>
        </w:tc>
        <w:tc>
          <w:tcPr>
            <w:tcW w:w="1240" w:type="dxa"/>
            <w:vAlign w:val="bottom"/>
            <w:tcBorders>
              <w:bottom w:val="single" w:sz="8" w:color="2D53A6"/>
              <w:right w:val="single" w:sz="8" w:color="2D53A6"/>
            </w:tcBorders>
            <w:shd w:val="clear" w:color="auto" w:fill="E6E6E6"/>
          </w:tcPr>
          <w:p>
            <w:pPr>
              <w:jc w:val="right"/>
              <w:ind w:right="48"/>
              <w:spacing w:after="0"/>
              <w:rPr>
                <w:sz w:val="20"/>
                <w:szCs w:val="20"/>
                <w:color w:val="auto"/>
              </w:rPr>
            </w:pPr>
            <w:r>
              <w:rPr>
                <w:rFonts w:ascii="Arial" w:cs="Arial" w:eastAsia="Arial" w:hAnsi="Arial"/>
                <w:sz w:val="14"/>
                <w:szCs w:val="14"/>
                <w:color w:val="auto"/>
              </w:rPr>
              <w:t>432,846</w:t>
            </w:r>
          </w:p>
        </w:tc>
        <w:tc>
          <w:tcPr>
            <w:tcW w:w="1260" w:type="dxa"/>
            <w:vAlign w:val="bottom"/>
            <w:tcBorders>
              <w:bottom w:val="single" w:sz="8" w:color="2D53A6"/>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1,074,088</w:t>
            </w:r>
          </w:p>
        </w:tc>
        <w:tc>
          <w:tcPr>
            <w:tcW w:w="1220" w:type="dxa"/>
            <w:vAlign w:val="bottom"/>
            <w:tcBorders>
              <w:bottom w:val="single" w:sz="8" w:color="2D53A6"/>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590,740</w:t>
            </w:r>
          </w:p>
        </w:tc>
        <w:tc>
          <w:tcPr>
            <w:tcW w:w="1220" w:type="dxa"/>
            <w:vAlign w:val="bottom"/>
            <w:tcBorders>
              <w:bottom w:val="single" w:sz="8" w:color="2D53A6"/>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19,381</w:t>
            </w:r>
          </w:p>
        </w:tc>
        <w:tc>
          <w:tcPr>
            <w:tcW w:w="1200" w:type="dxa"/>
            <w:vAlign w:val="bottom"/>
            <w:tcBorders>
              <w:bottom w:val="single" w:sz="8" w:color="2D53A6"/>
              <w:right w:val="single" w:sz="8" w:color="2D53A6"/>
            </w:tcBorders>
            <w:shd w:val="clear" w:color="auto" w:fill="E6E6E6"/>
          </w:tcPr>
          <w:p>
            <w:pPr>
              <w:jc w:val="right"/>
              <w:ind w:right="28"/>
              <w:spacing w:after="0"/>
              <w:rPr>
                <w:sz w:val="20"/>
                <w:szCs w:val="20"/>
                <w:color w:val="auto"/>
              </w:rPr>
            </w:pPr>
            <w:r>
              <w:rPr>
                <w:rFonts w:ascii="Arial" w:cs="Arial" w:eastAsia="Arial" w:hAnsi="Arial"/>
                <w:sz w:val="14"/>
                <w:szCs w:val="14"/>
                <w:color w:val="auto"/>
              </w:rPr>
              <w:t>2,117,055</w:t>
            </w:r>
          </w:p>
        </w:tc>
        <w:tc>
          <w:tcPr>
            <w:tcW w:w="0" w:type="dxa"/>
            <w:vAlign w:val="bottom"/>
          </w:tcPr>
          <w:p>
            <w:pPr>
              <w:spacing w:after="0"/>
              <w:rPr>
                <w:sz w:val="1"/>
                <w:szCs w:val="1"/>
                <w:color w:val="auto"/>
              </w:rPr>
            </w:pPr>
          </w:p>
        </w:tc>
      </w:tr>
      <w:tr>
        <w:trPr>
          <w:trHeight w:val="146"/>
        </w:trPr>
        <w:tc>
          <w:tcPr>
            <w:tcW w:w="4160" w:type="dxa"/>
            <w:vAlign w:val="bottom"/>
            <w:tcBorders>
              <w:left w:val="single" w:sz="8" w:color="2D53A6"/>
              <w:right w:val="single" w:sz="8" w:color="2D53A6"/>
            </w:tcBorders>
          </w:tcPr>
          <w:p>
            <w:pPr>
              <w:ind w:left="20"/>
              <w:spacing w:after="0" w:line="147" w:lineRule="exact"/>
              <w:rPr>
                <w:sz w:val="20"/>
                <w:szCs w:val="20"/>
                <w:color w:val="auto"/>
              </w:rPr>
            </w:pPr>
            <w:r>
              <w:rPr>
                <w:rFonts w:ascii="Arial" w:cs="Arial" w:eastAsia="Arial" w:hAnsi="Arial"/>
                <w:sz w:val="14"/>
                <w:szCs w:val="14"/>
                <w:color w:val="auto"/>
              </w:rPr>
              <w:t>Christopher G. Bohrson</w:t>
            </w:r>
          </w:p>
        </w:tc>
        <w:tc>
          <w:tcPr>
            <w:tcW w:w="940" w:type="dxa"/>
            <w:vAlign w:val="bottom"/>
            <w:tcBorders>
              <w:right w:val="single" w:sz="8" w:color="2D53A6"/>
            </w:tcBorders>
          </w:tcPr>
          <w:p>
            <w:pPr>
              <w:ind w:left="300"/>
              <w:spacing w:after="0" w:line="147" w:lineRule="exact"/>
              <w:rPr>
                <w:sz w:val="20"/>
                <w:szCs w:val="20"/>
                <w:color w:val="auto"/>
              </w:rPr>
            </w:pPr>
            <w:r>
              <w:rPr>
                <w:rFonts w:ascii="Arial" w:cs="Arial" w:eastAsia="Arial" w:hAnsi="Arial"/>
                <w:sz w:val="14"/>
                <w:szCs w:val="14"/>
                <w:color w:val="auto"/>
              </w:rPr>
              <w:t>2024</w:t>
            </w:r>
          </w:p>
        </w:tc>
        <w:tc>
          <w:tcPr>
            <w:tcW w:w="1240" w:type="dxa"/>
            <w:vAlign w:val="bottom"/>
            <w:tcBorders>
              <w:right w:val="single" w:sz="8" w:color="2D53A6"/>
            </w:tcBorders>
          </w:tcPr>
          <w:p>
            <w:pPr>
              <w:jc w:val="right"/>
              <w:ind w:right="48"/>
              <w:spacing w:after="0" w:line="147" w:lineRule="exact"/>
              <w:rPr>
                <w:sz w:val="20"/>
                <w:szCs w:val="20"/>
                <w:color w:val="auto"/>
              </w:rPr>
            </w:pPr>
            <w:r>
              <w:rPr>
                <w:rFonts w:ascii="Arial" w:cs="Arial" w:eastAsia="Arial" w:hAnsi="Arial"/>
                <w:sz w:val="14"/>
                <w:szCs w:val="14"/>
                <w:color w:val="auto"/>
              </w:rPr>
              <w:t>425,000</w:t>
            </w:r>
          </w:p>
        </w:tc>
        <w:tc>
          <w:tcPr>
            <w:tcW w:w="1260" w:type="dxa"/>
            <w:vAlign w:val="bottom"/>
            <w:tcBorders>
              <w:right w:val="single" w:sz="8" w:color="2D53A6"/>
            </w:tcBorders>
          </w:tcPr>
          <w:p>
            <w:pPr>
              <w:jc w:val="right"/>
              <w:ind w:right="49"/>
              <w:spacing w:after="0" w:line="147" w:lineRule="exact"/>
              <w:rPr>
                <w:sz w:val="20"/>
                <w:szCs w:val="20"/>
                <w:color w:val="auto"/>
              </w:rPr>
            </w:pPr>
            <w:r>
              <w:rPr>
                <w:rFonts w:ascii="Arial" w:cs="Arial" w:eastAsia="Arial" w:hAnsi="Arial"/>
                <w:sz w:val="14"/>
                <w:szCs w:val="14"/>
                <w:color w:val="auto"/>
              </w:rPr>
              <w:t>1,022,948</w:t>
            </w:r>
          </w:p>
        </w:tc>
        <w:tc>
          <w:tcPr>
            <w:tcW w:w="1220" w:type="dxa"/>
            <w:vAlign w:val="bottom"/>
            <w:tcBorders>
              <w:right w:val="single" w:sz="8" w:color="2D53A6"/>
            </w:tcBorders>
          </w:tcPr>
          <w:p>
            <w:pPr>
              <w:jc w:val="right"/>
              <w:ind w:right="49"/>
              <w:spacing w:after="0" w:line="147" w:lineRule="exact"/>
              <w:rPr>
                <w:sz w:val="20"/>
                <w:szCs w:val="20"/>
                <w:color w:val="auto"/>
              </w:rPr>
            </w:pPr>
            <w:r>
              <w:rPr>
                <w:rFonts w:ascii="Arial" w:cs="Arial" w:eastAsia="Arial" w:hAnsi="Arial"/>
                <w:sz w:val="14"/>
                <w:szCs w:val="14"/>
                <w:color w:val="auto"/>
              </w:rPr>
              <w:t>-</w:t>
            </w:r>
          </w:p>
        </w:tc>
        <w:tc>
          <w:tcPr>
            <w:tcW w:w="1220" w:type="dxa"/>
            <w:vAlign w:val="bottom"/>
            <w:tcBorders>
              <w:right w:val="single" w:sz="8" w:color="2D53A6"/>
            </w:tcBorders>
          </w:tcPr>
          <w:p>
            <w:pPr>
              <w:jc w:val="right"/>
              <w:ind w:right="49"/>
              <w:spacing w:after="0" w:line="147" w:lineRule="exact"/>
              <w:rPr>
                <w:sz w:val="20"/>
                <w:szCs w:val="20"/>
                <w:color w:val="auto"/>
              </w:rPr>
            </w:pPr>
            <w:r>
              <w:rPr>
                <w:rFonts w:ascii="Arial" w:cs="Arial" w:eastAsia="Arial" w:hAnsi="Arial"/>
                <w:sz w:val="14"/>
                <w:szCs w:val="14"/>
                <w:color w:val="auto"/>
              </w:rPr>
              <w:t>20,962</w:t>
            </w:r>
          </w:p>
        </w:tc>
        <w:tc>
          <w:tcPr>
            <w:tcW w:w="1200" w:type="dxa"/>
            <w:vAlign w:val="bottom"/>
            <w:tcBorders>
              <w:right w:val="single" w:sz="8" w:color="2D53A6"/>
            </w:tcBorders>
          </w:tcPr>
          <w:p>
            <w:pPr>
              <w:jc w:val="right"/>
              <w:ind w:right="28"/>
              <w:spacing w:after="0" w:line="147" w:lineRule="exact"/>
              <w:rPr>
                <w:sz w:val="20"/>
                <w:szCs w:val="20"/>
                <w:color w:val="auto"/>
              </w:rPr>
            </w:pPr>
            <w:r>
              <w:rPr>
                <w:rFonts w:ascii="Arial" w:cs="Arial" w:eastAsia="Arial" w:hAnsi="Arial"/>
                <w:sz w:val="14"/>
                <w:szCs w:val="14"/>
                <w:color w:val="auto"/>
              </w:rPr>
              <w:t>1,468,910</w:t>
            </w:r>
          </w:p>
        </w:tc>
        <w:tc>
          <w:tcPr>
            <w:tcW w:w="0" w:type="dxa"/>
            <w:vAlign w:val="bottom"/>
          </w:tcPr>
          <w:p>
            <w:pPr>
              <w:spacing w:after="0"/>
              <w:rPr>
                <w:sz w:val="1"/>
                <w:szCs w:val="1"/>
                <w:color w:val="auto"/>
              </w:rPr>
            </w:pPr>
          </w:p>
        </w:tc>
      </w:tr>
      <w:tr>
        <w:trPr>
          <w:trHeight w:val="162"/>
        </w:trPr>
        <w:tc>
          <w:tcPr>
            <w:tcW w:w="4160" w:type="dxa"/>
            <w:vAlign w:val="bottom"/>
            <w:tcBorders>
              <w:left w:val="single" w:sz="8" w:color="2D53A6"/>
              <w:right w:val="single" w:sz="8" w:color="2D53A6"/>
            </w:tcBorders>
          </w:tcPr>
          <w:p>
            <w:pPr>
              <w:ind w:left="20"/>
              <w:spacing w:after="0"/>
              <w:rPr>
                <w:sz w:val="20"/>
                <w:szCs w:val="20"/>
                <w:color w:val="auto"/>
              </w:rPr>
            </w:pPr>
            <w:r>
              <w:rPr>
                <w:rFonts w:ascii="Arial" w:cs="Arial" w:eastAsia="Arial" w:hAnsi="Arial"/>
                <w:sz w:val="14"/>
                <w:szCs w:val="14"/>
                <w:i w:val="1"/>
                <w:iCs w:val="1"/>
                <w:color w:val="auto"/>
              </w:rPr>
              <w:t>Sr. Vice President,</w:t>
            </w:r>
          </w:p>
        </w:tc>
        <w:tc>
          <w:tcPr>
            <w:tcW w:w="940" w:type="dxa"/>
            <w:vAlign w:val="bottom"/>
            <w:tcBorders>
              <w:right w:val="single" w:sz="8" w:color="2D53A6"/>
            </w:tcBorders>
          </w:tcPr>
          <w:p>
            <w:pPr>
              <w:ind w:left="300"/>
              <w:spacing w:after="0"/>
              <w:rPr>
                <w:sz w:val="20"/>
                <w:szCs w:val="20"/>
                <w:color w:val="auto"/>
              </w:rPr>
            </w:pPr>
            <w:r>
              <w:rPr>
                <w:rFonts w:ascii="Arial" w:cs="Arial" w:eastAsia="Arial" w:hAnsi="Arial"/>
                <w:sz w:val="14"/>
                <w:szCs w:val="14"/>
                <w:color w:val="auto"/>
              </w:rPr>
              <w:t>2023</w:t>
            </w:r>
          </w:p>
        </w:tc>
        <w:tc>
          <w:tcPr>
            <w:tcW w:w="1240" w:type="dxa"/>
            <w:vAlign w:val="bottom"/>
            <w:tcBorders>
              <w:right w:val="single" w:sz="8" w:color="2D53A6"/>
            </w:tcBorders>
          </w:tcPr>
          <w:p>
            <w:pPr>
              <w:jc w:val="right"/>
              <w:ind w:right="48"/>
              <w:spacing w:after="0"/>
              <w:rPr>
                <w:sz w:val="20"/>
                <w:szCs w:val="20"/>
                <w:color w:val="auto"/>
              </w:rPr>
            </w:pPr>
            <w:r>
              <w:rPr>
                <w:rFonts w:ascii="Arial" w:cs="Arial" w:eastAsia="Arial" w:hAnsi="Arial"/>
                <w:sz w:val="14"/>
                <w:szCs w:val="14"/>
                <w:color w:val="auto"/>
              </w:rPr>
              <w:t>418,846</w:t>
            </w:r>
          </w:p>
        </w:tc>
        <w:tc>
          <w:tcPr>
            <w:tcW w:w="1260" w:type="dxa"/>
            <w:vAlign w:val="bottom"/>
            <w:tcBorders>
              <w:right w:val="single" w:sz="8" w:color="2D53A6"/>
            </w:tcBorders>
          </w:tcPr>
          <w:p>
            <w:pPr>
              <w:jc w:val="right"/>
              <w:ind w:right="49"/>
              <w:spacing w:after="0"/>
              <w:rPr>
                <w:sz w:val="20"/>
                <w:szCs w:val="20"/>
                <w:color w:val="auto"/>
              </w:rPr>
            </w:pPr>
            <w:r>
              <w:rPr>
                <w:rFonts w:ascii="Arial" w:cs="Arial" w:eastAsia="Arial" w:hAnsi="Arial"/>
                <w:sz w:val="14"/>
                <w:szCs w:val="14"/>
                <w:color w:val="auto"/>
              </w:rPr>
              <w:t>1,262,779</w:t>
            </w:r>
          </w:p>
        </w:tc>
        <w:tc>
          <w:tcPr>
            <w:tcW w:w="1220" w:type="dxa"/>
            <w:vAlign w:val="bottom"/>
            <w:tcBorders>
              <w:right w:val="single" w:sz="8" w:color="2D53A6"/>
            </w:tcBorders>
          </w:tcPr>
          <w:p>
            <w:pPr>
              <w:jc w:val="right"/>
              <w:ind w:right="49"/>
              <w:spacing w:after="0"/>
              <w:rPr>
                <w:sz w:val="20"/>
                <w:szCs w:val="20"/>
                <w:color w:val="auto"/>
              </w:rPr>
            </w:pPr>
            <w:r>
              <w:rPr>
                <w:rFonts w:ascii="Arial" w:cs="Arial" w:eastAsia="Arial" w:hAnsi="Arial"/>
                <w:sz w:val="14"/>
                <w:szCs w:val="14"/>
                <w:color w:val="auto"/>
              </w:rPr>
              <w:t>304,921</w:t>
            </w:r>
          </w:p>
        </w:tc>
        <w:tc>
          <w:tcPr>
            <w:tcW w:w="1220" w:type="dxa"/>
            <w:vAlign w:val="bottom"/>
            <w:tcBorders>
              <w:right w:val="single" w:sz="8" w:color="2D53A6"/>
            </w:tcBorders>
          </w:tcPr>
          <w:p>
            <w:pPr>
              <w:jc w:val="right"/>
              <w:ind w:right="49"/>
              <w:spacing w:after="0"/>
              <w:rPr>
                <w:sz w:val="20"/>
                <w:szCs w:val="20"/>
                <w:color w:val="auto"/>
              </w:rPr>
            </w:pPr>
            <w:r>
              <w:rPr>
                <w:rFonts w:ascii="Arial" w:cs="Arial" w:eastAsia="Arial" w:hAnsi="Arial"/>
                <w:sz w:val="14"/>
                <w:szCs w:val="14"/>
                <w:color w:val="auto"/>
              </w:rPr>
              <w:t>20,962</w:t>
            </w:r>
          </w:p>
        </w:tc>
        <w:tc>
          <w:tcPr>
            <w:tcW w:w="1200" w:type="dxa"/>
            <w:vAlign w:val="bottom"/>
            <w:tcBorders>
              <w:right w:val="single" w:sz="8" w:color="2D53A6"/>
            </w:tcBorders>
          </w:tcPr>
          <w:p>
            <w:pPr>
              <w:jc w:val="right"/>
              <w:ind w:right="28"/>
              <w:spacing w:after="0"/>
              <w:rPr>
                <w:sz w:val="20"/>
                <w:szCs w:val="20"/>
                <w:color w:val="auto"/>
              </w:rPr>
            </w:pPr>
            <w:r>
              <w:rPr>
                <w:rFonts w:ascii="Arial" w:cs="Arial" w:eastAsia="Arial" w:hAnsi="Arial"/>
                <w:sz w:val="14"/>
                <w:szCs w:val="14"/>
                <w:color w:val="auto"/>
              </w:rPr>
              <w:t>2,007,508</w:t>
            </w:r>
          </w:p>
        </w:tc>
        <w:tc>
          <w:tcPr>
            <w:tcW w:w="0" w:type="dxa"/>
            <w:vAlign w:val="bottom"/>
          </w:tcPr>
          <w:p>
            <w:pPr>
              <w:spacing w:after="0"/>
              <w:rPr>
                <w:sz w:val="1"/>
                <w:szCs w:val="1"/>
                <w:color w:val="auto"/>
              </w:rPr>
            </w:pPr>
          </w:p>
        </w:tc>
      </w:tr>
      <w:tr>
        <w:trPr>
          <w:trHeight w:val="171"/>
        </w:trPr>
        <w:tc>
          <w:tcPr>
            <w:tcW w:w="4160" w:type="dxa"/>
            <w:vAlign w:val="bottom"/>
            <w:tcBorders>
              <w:left w:val="single" w:sz="8" w:color="2D53A6"/>
              <w:bottom w:val="single" w:sz="8" w:color="2D53A6"/>
              <w:right w:val="single" w:sz="8" w:color="2D53A6"/>
            </w:tcBorders>
          </w:tcPr>
          <w:p>
            <w:pPr>
              <w:ind w:left="20"/>
              <w:spacing w:after="0"/>
              <w:rPr>
                <w:sz w:val="20"/>
                <w:szCs w:val="20"/>
                <w:color w:val="auto"/>
              </w:rPr>
            </w:pPr>
            <w:r>
              <w:rPr>
                <w:rFonts w:ascii="Arial" w:cs="Arial" w:eastAsia="Arial" w:hAnsi="Arial"/>
                <w:sz w:val="14"/>
                <w:szCs w:val="14"/>
                <w:i w:val="1"/>
                <w:iCs w:val="1"/>
                <w:color w:val="auto"/>
              </w:rPr>
              <w:t>Chief Customer Officer</w:t>
            </w:r>
          </w:p>
        </w:tc>
        <w:tc>
          <w:tcPr>
            <w:tcW w:w="940" w:type="dxa"/>
            <w:vAlign w:val="bottom"/>
            <w:tcBorders>
              <w:bottom w:val="single" w:sz="8" w:color="2D53A6"/>
              <w:right w:val="single" w:sz="8" w:color="2D53A6"/>
            </w:tcBorders>
          </w:tcPr>
          <w:p>
            <w:pPr>
              <w:ind w:left="300"/>
              <w:spacing w:after="0"/>
              <w:rPr>
                <w:sz w:val="20"/>
                <w:szCs w:val="20"/>
                <w:color w:val="auto"/>
              </w:rPr>
            </w:pPr>
            <w:r>
              <w:rPr>
                <w:rFonts w:ascii="Arial" w:cs="Arial" w:eastAsia="Arial" w:hAnsi="Arial"/>
                <w:sz w:val="14"/>
                <w:szCs w:val="14"/>
                <w:color w:val="auto"/>
              </w:rPr>
              <w:t>2022</w:t>
            </w:r>
          </w:p>
        </w:tc>
        <w:tc>
          <w:tcPr>
            <w:tcW w:w="124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382,077</w:t>
            </w:r>
          </w:p>
        </w:tc>
        <w:tc>
          <w:tcPr>
            <w:tcW w:w="126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708,669</w:t>
            </w:r>
          </w:p>
        </w:tc>
        <w:tc>
          <w:tcPr>
            <w:tcW w:w="122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520,446</w:t>
            </w:r>
          </w:p>
        </w:tc>
        <w:tc>
          <w:tcPr>
            <w:tcW w:w="122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19,240</w:t>
            </w:r>
          </w:p>
        </w:tc>
        <w:tc>
          <w:tcPr>
            <w:tcW w:w="120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1,630,432</w:t>
            </w:r>
          </w:p>
        </w:tc>
        <w:tc>
          <w:tcPr>
            <w:tcW w:w="0" w:type="dxa"/>
            <w:vAlign w:val="bottom"/>
          </w:tcPr>
          <w:p>
            <w:pPr>
              <w:spacing w:after="0"/>
              <w:rPr>
                <w:sz w:val="1"/>
                <w:szCs w:val="1"/>
                <w:color w:val="auto"/>
              </w:rPr>
            </w:pPr>
          </w:p>
        </w:tc>
      </w:tr>
      <w:tr>
        <w:trPr>
          <w:trHeight w:val="155"/>
        </w:trPr>
        <w:tc>
          <w:tcPr>
            <w:tcW w:w="4160" w:type="dxa"/>
            <w:vAlign w:val="bottom"/>
            <w:tcBorders>
              <w:left w:val="single" w:sz="8" w:color="2D53A6"/>
              <w:right w:val="single" w:sz="8" w:color="2D53A6"/>
            </w:tcBorders>
            <w:shd w:val="clear" w:color="auto" w:fill="E6E6E6"/>
          </w:tcPr>
          <w:p>
            <w:pPr>
              <w:ind w:left="20"/>
              <w:spacing w:after="0" w:line="155" w:lineRule="exact"/>
              <w:rPr>
                <w:sz w:val="20"/>
                <w:szCs w:val="20"/>
                <w:color w:val="auto"/>
              </w:rPr>
            </w:pPr>
            <w:r>
              <w:rPr>
                <w:rFonts w:ascii="Arial" w:cs="Arial" w:eastAsia="Arial" w:hAnsi="Arial"/>
                <w:sz w:val="14"/>
                <w:szCs w:val="14"/>
                <w:color w:val="auto"/>
              </w:rPr>
              <w:t>Thomas D. Kampfer</w:t>
            </w:r>
          </w:p>
        </w:tc>
        <w:tc>
          <w:tcPr>
            <w:tcW w:w="940" w:type="dxa"/>
            <w:vAlign w:val="bottom"/>
            <w:tcBorders>
              <w:right w:val="single" w:sz="8" w:color="2D53A6"/>
            </w:tcBorders>
            <w:shd w:val="clear" w:color="auto" w:fill="E6E6E6"/>
          </w:tcPr>
          <w:p>
            <w:pPr>
              <w:ind w:left="300"/>
              <w:spacing w:after="0" w:line="155" w:lineRule="exact"/>
              <w:rPr>
                <w:sz w:val="20"/>
                <w:szCs w:val="20"/>
                <w:color w:val="auto"/>
              </w:rPr>
            </w:pPr>
            <w:r>
              <w:rPr>
                <w:rFonts w:ascii="Arial" w:cs="Arial" w:eastAsia="Arial" w:hAnsi="Arial"/>
                <w:sz w:val="14"/>
                <w:szCs w:val="14"/>
                <w:color w:val="auto"/>
              </w:rPr>
              <w:t>2024</w:t>
            </w:r>
          </w:p>
        </w:tc>
        <w:tc>
          <w:tcPr>
            <w:tcW w:w="1240" w:type="dxa"/>
            <w:vAlign w:val="bottom"/>
            <w:tcBorders>
              <w:right w:val="single" w:sz="8" w:color="2D53A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333,346</w:t>
            </w:r>
          </w:p>
        </w:tc>
        <w:tc>
          <w:tcPr>
            <w:tcW w:w="1260" w:type="dxa"/>
            <w:vAlign w:val="bottom"/>
            <w:tcBorders>
              <w:right w:val="single" w:sz="8" w:color="2D53A6"/>
            </w:tcBorders>
            <w:shd w:val="clear" w:color="auto" w:fill="E6E6E6"/>
          </w:tcPr>
          <w:p>
            <w:pPr>
              <w:jc w:val="right"/>
              <w:ind w:right="49"/>
              <w:spacing w:after="0" w:line="155" w:lineRule="exact"/>
              <w:rPr>
                <w:sz w:val="20"/>
                <w:szCs w:val="20"/>
                <w:color w:val="auto"/>
              </w:rPr>
            </w:pPr>
            <w:r>
              <w:rPr>
                <w:rFonts w:ascii="Arial" w:cs="Arial" w:eastAsia="Arial" w:hAnsi="Arial"/>
                <w:sz w:val="14"/>
                <w:szCs w:val="14"/>
                <w:color w:val="auto"/>
              </w:rPr>
              <w:t>210,012</w:t>
            </w:r>
          </w:p>
        </w:tc>
        <w:tc>
          <w:tcPr>
            <w:tcW w:w="1220" w:type="dxa"/>
            <w:vAlign w:val="bottom"/>
            <w:tcBorders>
              <w:right w:val="single" w:sz="8" w:color="2D53A6"/>
            </w:tcBorders>
            <w:shd w:val="clear" w:color="auto" w:fill="E6E6E6"/>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right w:val="single" w:sz="8" w:color="2D53A6"/>
            </w:tcBorders>
            <w:shd w:val="clear" w:color="auto" w:fill="E6E6E6"/>
          </w:tcPr>
          <w:p>
            <w:pPr>
              <w:jc w:val="right"/>
              <w:ind w:right="49"/>
              <w:spacing w:after="0" w:line="155" w:lineRule="exact"/>
              <w:rPr>
                <w:sz w:val="20"/>
                <w:szCs w:val="20"/>
                <w:color w:val="auto"/>
              </w:rPr>
            </w:pPr>
            <w:r>
              <w:rPr>
                <w:rFonts w:ascii="Arial" w:cs="Arial" w:eastAsia="Arial" w:hAnsi="Arial"/>
                <w:sz w:val="14"/>
                <w:szCs w:val="14"/>
                <w:color w:val="auto"/>
              </w:rPr>
              <w:t>19,846</w:t>
            </w:r>
          </w:p>
        </w:tc>
        <w:tc>
          <w:tcPr>
            <w:tcW w:w="1200" w:type="dxa"/>
            <w:vAlign w:val="bottom"/>
            <w:tcBorders>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563,204</w:t>
            </w:r>
          </w:p>
        </w:tc>
        <w:tc>
          <w:tcPr>
            <w:tcW w:w="0" w:type="dxa"/>
            <w:vAlign w:val="bottom"/>
          </w:tcPr>
          <w:p>
            <w:pPr>
              <w:spacing w:after="0"/>
              <w:rPr>
                <w:sz w:val="1"/>
                <w:szCs w:val="1"/>
                <w:color w:val="auto"/>
              </w:rPr>
            </w:pPr>
          </w:p>
        </w:tc>
      </w:tr>
      <w:tr>
        <w:trPr>
          <w:trHeight w:val="162"/>
        </w:trPr>
        <w:tc>
          <w:tcPr>
            <w:tcW w:w="4160" w:type="dxa"/>
            <w:vAlign w:val="bottom"/>
            <w:tcBorders>
              <w:left w:val="single" w:sz="8" w:color="2D53A6"/>
              <w:right w:val="single" w:sz="8" w:color="2D53A6"/>
            </w:tcBorders>
            <w:shd w:val="clear" w:color="auto" w:fill="E6E6E6"/>
          </w:tcPr>
          <w:p>
            <w:pPr>
              <w:ind w:left="20"/>
              <w:spacing w:after="0"/>
              <w:rPr>
                <w:sz w:val="20"/>
                <w:szCs w:val="20"/>
                <w:color w:val="auto"/>
              </w:rPr>
            </w:pPr>
            <w:r>
              <w:rPr>
                <w:rFonts w:ascii="Arial" w:cs="Arial" w:eastAsia="Arial" w:hAnsi="Arial"/>
                <w:sz w:val="14"/>
                <w:szCs w:val="14"/>
                <w:i w:val="1"/>
                <w:iCs w:val="1"/>
                <w:color w:val="auto"/>
              </w:rPr>
              <w:t>Sr. Vice President, Corp. Development</w:t>
            </w:r>
          </w:p>
        </w:tc>
        <w:tc>
          <w:tcPr>
            <w:tcW w:w="940" w:type="dxa"/>
            <w:vAlign w:val="bottom"/>
            <w:tcBorders>
              <w:right w:val="single" w:sz="8" w:color="2D53A6"/>
            </w:tcBorders>
            <w:shd w:val="clear" w:color="auto" w:fill="E6E6E6"/>
          </w:tcPr>
          <w:p>
            <w:pPr>
              <w:ind w:left="300"/>
              <w:spacing w:after="0"/>
              <w:rPr>
                <w:sz w:val="20"/>
                <w:szCs w:val="20"/>
                <w:color w:val="auto"/>
              </w:rPr>
            </w:pPr>
            <w:r>
              <w:rPr>
                <w:rFonts w:ascii="Arial" w:cs="Arial" w:eastAsia="Arial" w:hAnsi="Arial"/>
                <w:sz w:val="14"/>
                <w:szCs w:val="14"/>
                <w:color w:val="auto"/>
              </w:rPr>
              <w:t>2023</w:t>
            </w:r>
          </w:p>
        </w:tc>
        <w:tc>
          <w:tcPr>
            <w:tcW w:w="1240" w:type="dxa"/>
            <w:vAlign w:val="bottom"/>
            <w:tcBorders>
              <w:right w:val="single" w:sz="8" w:color="2D53A6"/>
            </w:tcBorders>
            <w:shd w:val="clear" w:color="auto" w:fill="E6E6E6"/>
          </w:tcPr>
          <w:p>
            <w:pPr>
              <w:jc w:val="right"/>
              <w:ind w:right="48"/>
              <w:spacing w:after="0"/>
              <w:rPr>
                <w:sz w:val="20"/>
                <w:szCs w:val="20"/>
                <w:color w:val="auto"/>
              </w:rPr>
            </w:pPr>
            <w:r>
              <w:rPr>
                <w:rFonts w:ascii="Arial" w:cs="Arial" w:eastAsia="Arial" w:hAnsi="Arial"/>
                <w:sz w:val="14"/>
                <w:szCs w:val="14"/>
                <w:color w:val="auto"/>
              </w:rPr>
              <w:t>400,846</w:t>
            </w:r>
          </w:p>
        </w:tc>
        <w:tc>
          <w:tcPr>
            <w:tcW w:w="1260" w:type="dxa"/>
            <w:vAlign w:val="bottom"/>
            <w:tcBorders>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757,614</w:t>
            </w:r>
          </w:p>
        </w:tc>
        <w:tc>
          <w:tcPr>
            <w:tcW w:w="1220" w:type="dxa"/>
            <w:vAlign w:val="bottom"/>
            <w:tcBorders>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193,715</w:t>
            </w:r>
          </w:p>
        </w:tc>
        <w:tc>
          <w:tcPr>
            <w:tcW w:w="1220" w:type="dxa"/>
            <w:vAlign w:val="bottom"/>
            <w:tcBorders>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20,908</w:t>
            </w:r>
          </w:p>
        </w:tc>
        <w:tc>
          <w:tcPr>
            <w:tcW w:w="1200" w:type="dxa"/>
            <w:vAlign w:val="bottom"/>
            <w:tcBorders>
              <w:right w:val="single" w:sz="8" w:color="2D53A6"/>
            </w:tcBorders>
            <w:shd w:val="clear" w:color="auto" w:fill="E6E6E6"/>
          </w:tcPr>
          <w:p>
            <w:pPr>
              <w:jc w:val="right"/>
              <w:ind w:right="28"/>
              <w:spacing w:after="0"/>
              <w:rPr>
                <w:sz w:val="20"/>
                <w:szCs w:val="20"/>
                <w:color w:val="auto"/>
              </w:rPr>
            </w:pPr>
            <w:r>
              <w:rPr>
                <w:rFonts w:ascii="Arial" w:cs="Arial" w:eastAsia="Arial" w:hAnsi="Arial"/>
                <w:sz w:val="14"/>
                <w:szCs w:val="14"/>
                <w:color w:val="auto"/>
              </w:rPr>
              <w:t>1,373,083</w:t>
            </w:r>
          </w:p>
        </w:tc>
        <w:tc>
          <w:tcPr>
            <w:tcW w:w="0" w:type="dxa"/>
            <w:vAlign w:val="bottom"/>
          </w:tcPr>
          <w:p>
            <w:pPr>
              <w:spacing w:after="0"/>
              <w:rPr>
                <w:sz w:val="1"/>
                <w:szCs w:val="1"/>
                <w:color w:val="auto"/>
              </w:rPr>
            </w:pPr>
          </w:p>
        </w:tc>
      </w:tr>
      <w:tr>
        <w:trPr>
          <w:trHeight w:val="162"/>
        </w:trPr>
        <w:tc>
          <w:tcPr>
            <w:tcW w:w="4160" w:type="dxa"/>
            <w:vAlign w:val="bottom"/>
            <w:tcBorders>
              <w:left w:val="single" w:sz="8" w:color="2D53A6"/>
              <w:bottom w:val="single" w:sz="8" w:color="2D53A6"/>
              <w:right w:val="single" w:sz="8" w:color="2D53A6"/>
            </w:tcBorders>
            <w:shd w:val="clear" w:color="auto" w:fill="E6E6E6"/>
          </w:tcPr>
          <w:p>
            <w:pPr>
              <w:spacing w:after="0"/>
              <w:rPr>
                <w:sz w:val="14"/>
                <w:szCs w:val="14"/>
                <w:color w:val="auto"/>
              </w:rPr>
            </w:pPr>
          </w:p>
        </w:tc>
        <w:tc>
          <w:tcPr>
            <w:tcW w:w="940" w:type="dxa"/>
            <w:vAlign w:val="bottom"/>
            <w:tcBorders>
              <w:bottom w:val="single" w:sz="8" w:color="2D53A6"/>
              <w:right w:val="single" w:sz="8" w:color="2D53A6"/>
            </w:tcBorders>
            <w:shd w:val="clear" w:color="auto" w:fill="E6E6E6"/>
          </w:tcPr>
          <w:p>
            <w:pPr>
              <w:ind w:left="300"/>
              <w:spacing w:after="0"/>
              <w:rPr>
                <w:sz w:val="20"/>
                <w:szCs w:val="20"/>
                <w:color w:val="auto"/>
              </w:rPr>
            </w:pPr>
            <w:r>
              <w:rPr>
                <w:rFonts w:ascii="Arial" w:cs="Arial" w:eastAsia="Arial" w:hAnsi="Arial"/>
                <w:sz w:val="14"/>
                <w:szCs w:val="14"/>
                <w:color w:val="auto"/>
              </w:rPr>
              <w:t>2022</w:t>
            </w:r>
          </w:p>
        </w:tc>
        <w:tc>
          <w:tcPr>
            <w:tcW w:w="1240" w:type="dxa"/>
            <w:vAlign w:val="bottom"/>
            <w:tcBorders>
              <w:bottom w:val="single" w:sz="8" w:color="2D53A6"/>
              <w:right w:val="single" w:sz="8" w:color="2D53A6"/>
            </w:tcBorders>
            <w:shd w:val="clear" w:color="auto" w:fill="E6E6E6"/>
          </w:tcPr>
          <w:p>
            <w:pPr>
              <w:jc w:val="right"/>
              <w:ind w:right="48"/>
              <w:spacing w:after="0"/>
              <w:rPr>
                <w:sz w:val="20"/>
                <w:szCs w:val="20"/>
                <w:color w:val="auto"/>
              </w:rPr>
            </w:pPr>
            <w:r>
              <w:rPr>
                <w:rFonts w:ascii="Arial" w:cs="Arial" w:eastAsia="Arial" w:hAnsi="Arial"/>
                <w:sz w:val="14"/>
                <w:szCs w:val="14"/>
                <w:color w:val="auto"/>
              </w:rPr>
              <w:t>374,462</w:t>
            </w:r>
          </w:p>
        </w:tc>
        <w:tc>
          <w:tcPr>
            <w:tcW w:w="1260" w:type="dxa"/>
            <w:vAlign w:val="bottom"/>
            <w:tcBorders>
              <w:bottom w:val="single" w:sz="8" w:color="2D53A6"/>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525,929</w:t>
            </w:r>
          </w:p>
        </w:tc>
        <w:tc>
          <w:tcPr>
            <w:tcW w:w="1220" w:type="dxa"/>
            <w:vAlign w:val="bottom"/>
            <w:tcBorders>
              <w:bottom w:val="single" w:sz="8" w:color="2D53A6"/>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364,988</w:t>
            </w:r>
          </w:p>
        </w:tc>
        <w:tc>
          <w:tcPr>
            <w:tcW w:w="1220" w:type="dxa"/>
            <w:vAlign w:val="bottom"/>
            <w:tcBorders>
              <w:bottom w:val="single" w:sz="8" w:color="2D53A6"/>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19,221</w:t>
            </w:r>
          </w:p>
        </w:tc>
        <w:tc>
          <w:tcPr>
            <w:tcW w:w="1200" w:type="dxa"/>
            <w:vAlign w:val="bottom"/>
            <w:tcBorders>
              <w:bottom w:val="single" w:sz="8" w:color="2D53A6"/>
              <w:right w:val="single" w:sz="8" w:color="2D53A6"/>
            </w:tcBorders>
            <w:shd w:val="clear" w:color="auto" w:fill="E6E6E6"/>
          </w:tcPr>
          <w:p>
            <w:pPr>
              <w:jc w:val="right"/>
              <w:ind w:right="28"/>
              <w:spacing w:after="0"/>
              <w:rPr>
                <w:sz w:val="20"/>
                <w:szCs w:val="20"/>
                <w:color w:val="auto"/>
              </w:rPr>
            </w:pPr>
            <w:r>
              <w:rPr>
                <w:rFonts w:ascii="Arial" w:cs="Arial" w:eastAsia="Arial" w:hAnsi="Arial"/>
                <w:sz w:val="14"/>
                <w:szCs w:val="14"/>
                <w:color w:val="auto"/>
              </w:rPr>
              <w:t>1,284,600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right="20" w:hanging="332"/>
        <w:spacing w:after="0" w:line="246"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shown do not reflect compensation actually received by the NEOs. Instead, the amounts shown above are the grant date fair value for stock awards issued in the form of RSUs and PSUs granted in fiscal years 2024, 2023, and 2022, calculated in accordance with FASB Topic ASC 718 without regard to estimated forfeitures. The assumptions used to calculate the grant date fair value of the stock awards are set forth in Note 6, “Employee Benefit Plans”, included in Part IV, Item 15(a) of Cohu’s Annual Report on Form 10-K for the year ended December 28, 2024, filed with the SEC. The derived grant date fair value for the stock award is recognized, for financial statement purposes, over the number of days of service required for the award to vest in full. No stock options were granted to the NEOs during the three-year period ended December 28, 2024. Assuming the highest level of performance conditions are achieved, the grant date fair values for performance-based stock awards made in 2024 would be $5,037,287, $1,662,274, and $1,259,305 for Dr. Müller and Messrs. Jones, and Bohrson, respectively. Mr. Kampfer was not granted any performance-based stock awards in 2024. Using the same assumptions, the grant date fair values for performance-based stock awards made in 2023 they would be $6,827,661, $2,253,130, $1,706,863 and $1,024,056 and in 2022 they would be $3,643,835, $1,178,181, $777,348 and $576,899 for Dr. Müller and Messrs. Jones, Bohrson and Kampfer, respectively.</w:t>
      </w:r>
    </w:p>
    <w:p>
      <w:pPr>
        <w:spacing w:after="0" w:line="202" w:lineRule="exact"/>
        <w:rPr>
          <w:rFonts w:ascii="Arial" w:cs="Arial" w:eastAsia="Arial" w:hAnsi="Arial"/>
          <w:sz w:val="14"/>
          <w:szCs w:val="14"/>
          <w:color w:val="auto"/>
        </w:rPr>
      </w:pPr>
    </w:p>
    <w:p>
      <w:pPr>
        <w:ind w:left="340" w:right="240" w:hanging="332"/>
        <w:spacing w:after="0" w:line="285"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consist of performance-based cash incentives received by the NEO earned for services rendered in 2024, 2023, and 2022. Such amounts were paid under the 2005 Plan in February or March of the following fiscal year.</w:t>
      </w:r>
    </w:p>
    <w:p>
      <w:pPr>
        <w:spacing w:after="0" w:line="9"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amounts shown in this column reflect the following for each NEO:</w:t>
      </w:r>
    </w:p>
    <w:p>
      <w:pPr>
        <w:spacing w:after="0" w:line="68" w:lineRule="exact"/>
        <w:rPr>
          <w:rFonts w:ascii="Arial" w:cs="Arial" w:eastAsia="Arial" w:hAnsi="Arial"/>
          <w:sz w:val="14"/>
          <w:szCs w:val="14"/>
          <w:color w:val="auto"/>
        </w:rPr>
      </w:pPr>
    </w:p>
    <w:p>
      <w:pPr>
        <w:ind w:left="660" w:right="80" w:hanging="328"/>
        <w:spacing w:after="0" w:line="285" w:lineRule="auto"/>
        <w:tabs>
          <w:tab w:leader="none" w:pos="660" w:val="left"/>
        </w:tabs>
        <w:numPr>
          <w:ilvl w:val="1"/>
          <w:numId w:val="38"/>
        </w:numPr>
        <w:rPr>
          <w:rFonts w:ascii="Arial" w:cs="Arial" w:eastAsia="Arial" w:hAnsi="Arial"/>
          <w:sz w:val="14"/>
          <w:szCs w:val="14"/>
          <w:color w:val="auto"/>
        </w:rPr>
      </w:pPr>
      <w:r>
        <w:rPr>
          <w:rFonts w:ascii="Arial" w:cs="Arial" w:eastAsia="Arial" w:hAnsi="Arial"/>
          <w:sz w:val="14"/>
          <w:szCs w:val="14"/>
          <w:color w:val="auto"/>
        </w:rPr>
        <w:t>For U.S. based NEOs, includes amounts of Cohu’s matching contributions in 2024 under the Cohu 401(k) Plan (which is more fully described elsewhere herein under the heading “Retirement Benefits Under the 401(k) Plan, Executive Perquisites and Generally Available Benefits”).</w:t>
      </w:r>
    </w:p>
    <w:p>
      <w:pPr>
        <w:spacing w:after="0" w:line="9" w:lineRule="exact"/>
        <w:rPr>
          <w:rFonts w:ascii="Arial" w:cs="Arial" w:eastAsia="Arial" w:hAnsi="Arial"/>
          <w:sz w:val="14"/>
          <w:szCs w:val="14"/>
          <w:color w:val="auto"/>
        </w:rPr>
      </w:pPr>
    </w:p>
    <w:p>
      <w:pPr>
        <w:ind w:left="660" w:hanging="328"/>
        <w:spacing w:after="0"/>
        <w:tabs>
          <w:tab w:leader="none" w:pos="660" w:val="left"/>
        </w:tabs>
        <w:numPr>
          <w:ilvl w:val="1"/>
          <w:numId w:val="38"/>
        </w:numPr>
        <w:rPr>
          <w:rFonts w:ascii="Arial" w:cs="Arial" w:eastAsia="Arial" w:hAnsi="Arial"/>
          <w:sz w:val="14"/>
          <w:szCs w:val="14"/>
          <w:color w:val="auto"/>
        </w:rPr>
      </w:pPr>
      <w:r>
        <w:rPr>
          <w:rFonts w:ascii="Arial" w:cs="Arial" w:eastAsia="Arial" w:hAnsi="Arial"/>
          <w:sz w:val="14"/>
          <w:szCs w:val="14"/>
          <w:color w:val="auto"/>
        </w:rPr>
        <w:t>The value attributable to life insurance benefits provided by Cohu (such amount is taxable to the recipient).</w:t>
      </w:r>
    </w:p>
    <w:p>
      <w:pPr>
        <w:spacing w:after="0" w:line="82" w:lineRule="exact"/>
        <w:rPr>
          <w:rFonts w:ascii="Arial" w:cs="Arial" w:eastAsia="Arial" w:hAnsi="Arial"/>
          <w:sz w:val="14"/>
          <w:szCs w:val="14"/>
          <w:color w:val="auto"/>
        </w:rPr>
      </w:pPr>
    </w:p>
    <w:p>
      <w:pPr>
        <w:ind w:left="660" w:hanging="328"/>
        <w:spacing w:after="0"/>
        <w:tabs>
          <w:tab w:leader="none" w:pos="660" w:val="left"/>
        </w:tabs>
        <w:numPr>
          <w:ilvl w:val="1"/>
          <w:numId w:val="38"/>
        </w:numPr>
        <w:rPr>
          <w:rFonts w:ascii="Arial" w:cs="Arial" w:eastAsia="Arial" w:hAnsi="Arial"/>
          <w:sz w:val="14"/>
          <w:szCs w:val="14"/>
          <w:color w:val="auto"/>
        </w:rPr>
      </w:pPr>
      <w:r>
        <w:rPr>
          <w:rFonts w:ascii="Arial" w:cs="Arial" w:eastAsia="Arial" w:hAnsi="Arial"/>
          <w:sz w:val="14"/>
          <w:szCs w:val="14"/>
          <w:color w:val="auto"/>
        </w:rPr>
        <w:t>Monthly automobile expense allowance paid by Cohu (such amount is taxable to the recipient).</w:t>
      </w:r>
    </w:p>
    <w:p>
      <w:pPr>
        <w:spacing w:after="0" w:line="82" w:lineRule="exact"/>
        <w:rPr>
          <w:rFonts w:ascii="Arial" w:cs="Arial" w:eastAsia="Arial" w:hAnsi="Arial"/>
          <w:sz w:val="14"/>
          <w:szCs w:val="14"/>
          <w:color w:val="auto"/>
        </w:rPr>
      </w:pPr>
    </w:p>
    <w:p>
      <w:pPr>
        <w:ind w:left="660" w:right="60" w:hanging="328"/>
        <w:spacing w:after="0" w:line="285" w:lineRule="auto"/>
        <w:tabs>
          <w:tab w:leader="none" w:pos="660" w:val="left"/>
        </w:tabs>
        <w:numPr>
          <w:ilvl w:val="1"/>
          <w:numId w:val="38"/>
        </w:numPr>
        <w:rPr>
          <w:rFonts w:ascii="Arial" w:cs="Arial" w:eastAsia="Arial" w:hAnsi="Arial"/>
          <w:sz w:val="14"/>
          <w:szCs w:val="14"/>
          <w:color w:val="auto"/>
        </w:rPr>
      </w:pPr>
      <w:r>
        <w:rPr>
          <w:rFonts w:ascii="Arial" w:cs="Arial" w:eastAsia="Arial" w:hAnsi="Arial"/>
          <w:sz w:val="14"/>
          <w:szCs w:val="14"/>
          <w:color w:val="auto"/>
        </w:rPr>
        <w:t>Except as noted above, the amount attributable to each such perquisite or benefit for each NEO does not exceed the greater of $25,000 or 10% of the total amount of perquisites and personal benefits received by such NEO.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2024 Pay Versus Performance</w:t>
      </w:r>
    </w:p>
    <w:p>
      <w:pPr>
        <w:spacing w:after="0" w:line="18"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are providing the following required information about the relationship between executive compensation actually paid and certain financial performance of Cohu as required by Item 402(v) of Regulation S-K. Further details regarding Cohu’s variable pay-for-performance philosophy and how Cohu aligns executive compensation with company performance, refer to “Executive Compensation and Other Information” above in the CD&amp;A.</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2024 Pay Versus Performance Table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Actually Paid (</w:t>
      </w:r>
      <w:r>
        <w:rPr>
          <w:rFonts w:ascii="Arial" w:cs="Arial" w:eastAsia="Arial" w:hAnsi="Arial"/>
          <w:sz w:val="22"/>
          <w:szCs w:val="22"/>
          <w:color w:val="auto"/>
        </w:rPr>
        <w:t>“</w:t>
      </w:r>
      <w:r>
        <w:rPr>
          <w:rFonts w:ascii="Arial" w:cs="Arial" w:eastAsia="Arial" w:hAnsi="Arial"/>
          <w:sz w:val="22"/>
          <w:szCs w:val="22"/>
          <w:b w:val="1"/>
          <w:bCs w:val="1"/>
          <w:color w:val="auto"/>
        </w:rPr>
        <w:t>CAP</w:t>
      </w: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460" w:type="dxa"/>
            <w:vAlign w:val="bottom"/>
            <w:tcBorders>
              <w:left w:val="single" w:sz="8" w:color="2D53A6"/>
              <w:right w:val="single" w:sz="8" w:color="2D53A6"/>
            </w:tcBorders>
            <w:shd w:val="clear" w:color="auto" w:fill="2D53A6"/>
          </w:tcPr>
          <w:p>
            <w:pPr>
              <w:spacing w:after="0"/>
              <w:rPr>
                <w:sz w:val="14"/>
                <w:szCs w:val="14"/>
                <w:color w:val="auto"/>
              </w:rPr>
            </w:pPr>
          </w:p>
        </w:tc>
        <w:tc>
          <w:tcPr>
            <w:tcW w:w="1340" w:type="dxa"/>
            <w:vAlign w:val="bottom"/>
            <w:tcBorders>
              <w:right w:val="single" w:sz="8" w:color="2D53A6"/>
            </w:tcBorders>
            <w:shd w:val="clear" w:color="auto" w:fill="2D53A6"/>
          </w:tcPr>
          <w:p>
            <w:pPr>
              <w:spacing w:after="0"/>
              <w:rPr>
                <w:sz w:val="14"/>
                <w:szCs w:val="14"/>
                <w:color w:val="auto"/>
              </w:rPr>
            </w:pPr>
          </w:p>
        </w:tc>
        <w:tc>
          <w:tcPr>
            <w:tcW w:w="1340" w:type="dxa"/>
            <w:vAlign w:val="bottom"/>
            <w:tcBorders>
              <w:right w:val="single" w:sz="8" w:color="2D53A6"/>
            </w:tcBorders>
            <w:shd w:val="clear" w:color="auto" w:fill="2D53A6"/>
          </w:tcPr>
          <w:p>
            <w:pPr>
              <w:spacing w:after="0"/>
              <w:rPr>
                <w:sz w:val="14"/>
                <w:szCs w:val="14"/>
                <w:color w:val="auto"/>
              </w:rPr>
            </w:pPr>
          </w:p>
        </w:tc>
        <w:tc>
          <w:tcPr>
            <w:tcW w:w="13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Average</w:t>
            </w:r>
          </w:p>
        </w:tc>
        <w:tc>
          <w:tcPr>
            <w:tcW w:w="1340" w:type="dxa"/>
            <w:vAlign w:val="bottom"/>
            <w:tcBorders>
              <w:right w:val="single" w:sz="8" w:color="2D53A6"/>
            </w:tcBorders>
            <w:shd w:val="clear" w:color="auto" w:fill="2D53A6"/>
          </w:tcPr>
          <w:p>
            <w:pPr>
              <w:spacing w:after="0"/>
              <w:rPr>
                <w:sz w:val="14"/>
                <w:szCs w:val="14"/>
                <w:color w:val="auto"/>
              </w:rPr>
            </w:pPr>
          </w:p>
        </w:tc>
        <w:tc>
          <w:tcPr>
            <w:tcW w:w="1340" w:type="dxa"/>
            <w:vAlign w:val="bottom"/>
            <w:tcBorders>
              <w:right w:val="single" w:sz="8" w:color="2D53A6"/>
            </w:tcBorders>
            <w:shd w:val="clear" w:color="auto" w:fill="2D53A6"/>
          </w:tcPr>
          <w:p>
            <w:pPr>
              <w:spacing w:after="0"/>
              <w:rPr>
                <w:sz w:val="14"/>
                <w:szCs w:val="14"/>
                <w:color w:val="auto"/>
              </w:rPr>
            </w:pPr>
          </w:p>
        </w:tc>
        <w:tc>
          <w:tcPr>
            <w:tcW w:w="1340" w:type="dxa"/>
            <w:vAlign w:val="bottom"/>
            <w:tcBorders>
              <w:right w:val="single" w:sz="8" w:color="2D53A6"/>
            </w:tcBorders>
            <w:shd w:val="clear" w:color="auto" w:fill="2D53A6"/>
          </w:tcPr>
          <w:p>
            <w:pPr>
              <w:spacing w:after="0"/>
              <w:rPr>
                <w:sz w:val="14"/>
                <w:szCs w:val="14"/>
                <w:color w:val="auto"/>
              </w:rPr>
            </w:pPr>
          </w:p>
        </w:tc>
        <w:tc>
          <w:tcPr>
            <w:tcW w:w="1340" w:type="dxa"/>
            <w:vAlign w:val="bottom"/>
            <w:tcBorders>
              <w:right w:val="single" w:sz="8" w:color="2D53A6"/>
            </w:tcBorders>
            <w:shd w:val="clear" w:color="auto" w:fill="2D53A6"/>
          </w:tcPr>
          <w:p>
            <w:pPr>
              <w:spacing w:after="0"/>
              <w:rPr>
                <w:sz w:val="14"/>
                <w:szCs w:val="14"/>
                <w:color w:val="auto"/>
              </w:rPr>
            </w:pPr>
          </w:p>
        </w:tc>
        <w:tc>
          <w:tcPr>
            <w:tcW w:w="1420" w:type="dxa"/>
            <w:vAlign w:val="bottom"/>
            <w:tcBorders>
              <w:right w:val="single" w:sz="8" w:color="2D53A6"/>
            </w:tcBorders>
            <w:shd w:val="clear" w:color="auto" w:fill="2D53A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 w:type="dxa"/>
            <w:vAlign w:val="bottom"/>
            <w:tcBorders>
              <w:left w:val="single" w:sz="8" w:color="2D53A6"/>
              <w:right w:val="single" w:sz="8" w:color="2D53A6"/>
            </w:tcBorders>
            <w:shd w:val="clear" w:color="auto" w:fill="2D53A6"/>
          </w:tcPr>
          <w:p>
            <w:pPr>
              <w:spacing w:after="0"/>
              <w:rPr>
                <w:sz w:val="14"/>
                <w:szCs w:val="14"/>
                <w:color w:val="auto"/>
              </w:rPr>
            </w:pP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Summary</w:t>
            </w:r>
          </w:p>
        </w:tc>
        <w:tc>
          <w:tcPr>
            <w:tcW w:w="1340" w:type="dxa"/>
            <w:vAlign w:val="bottom"/>
            <w:tcBorders>
              <w:right w:val="single" w:sz="8" w:color="2D53A6"/>
            </w:tcBorders>
            <w:shd w:val="clear" w:color="auto" w:fill="2D53A6"/>
          </w:tcPr>
          <w:p>
            <w:pPr>
              <w:spacing w:after="0"/>
              <w:rPr>
                <w:sz w:val="14"/>
                <w:szCs w:val="14"/>
                <w:color w:val="auto"/>
              </w:rPr>
            </w:pPr>
          </w:p>
        </w:tc>
        <w:tc>
          <w:tcPr>
            <w:tcW w:w="13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Summary</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Average</w:t>
            </w:r>
          </w:p>
        </w:tc>
        <w:tc>
          <w:tcPr>
            <w:tcW w:w="1340" w:type="dxa"/>
            <w:vAlign w:val="bottom"/>
            <w:tcBorders>
              <w:right w:val="single" w:sz="8" w:color="2D53A6"/>
            </w:tcBorders>
            <w:shd w:val="clear" w:color="auto" w:fill="2D53A6"/>
          </w:tcPr>
          <w:p>
            <w:pPr>
              <w:spacing w:after="0"/>
              <w:rPr>
                <w:sz w:val="14"/>
                <w:szCs w:val="14"/>
                <w:color w:val="auto"/>
              </w:rPr>
            </w:pP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Peer Group</w:t>
            </w:r>
          </w:p>
        </w:tc>
        <w:tc>
          <w:tcPr>
            <w:tcW w:w="1340" w:type="dxa"/>
            <w:vAlign w:val="bottom"/>
            <w:tcBorders>
              <w:right w:val="single" w:sz="8" w:color="2D53A6"/>
            </w:tcBorders>
            <w:shd w:val="clear" w:color="auto" w:fill="2D53A6"/>
          </w:tcPr>
          <w:p>
            <w:pPr>
              <w:spacing w:after="0"/>
              <w:rPr>
                <w:sz w:val="14"/>
                <w:szCs w:val="14"/>
                <w:color w:val="auto"/>
              </w:rPr>
            </w:pPr>
          </w:p>
        </w:tc>
        <w:tc>
          <w:tcPr>
            <w:tcW w:w="1420" w:type="dxa"/>
            <w:vAlign w:val="bottom"/>
            <w:tcBorders>
              <w:right w:val="single" w:sz="8" w:color="2D53A6"/>
            </w:tcBorders>
            <w:shd w:val="clear" w:color="auto" w:fill="2D53A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 w:type="dxa"/>
            <w:vAlign w:val="bottom"/>
            <w:tcBorders>
              <w:left w:val="single" w:sz="8" w:color="2D53A6"/>
              <w:right w:val="single" w:sz="8" w:color="2D53A6"/>
            </w:tcBorders>
            <w:shd w:val="clear" w:color="auto" w:fill="2D53A6"/>
          </w:tcPr>
          <w:p>
            <w:pPr>
              <w:spacing w:after="0"/>
              <w:rPr>
                <w:sz w:val="14"/>
                <w:szCs w:val="14"/>
                <w:color w:val="auto"/>
              </w:rPr>
            </w:pP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Compensation</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Compensation</w:t>
            </w:r>
          </w:p>
        </w:tc>
        <w:tc>
          <w:tcPr>
            <w:tcW w:w="13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Compensation</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Compensation</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Total Share-</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Total Share-</w:t>
            </w:r>
          </w:p>
        </w:tc>
        <w:tc>
          <w:tcPr>
            <w:tcW w:w="1340" w:type="dxa"/>
            <w:vAlign w:val="bottom"/>
            <w:tcBorders>
              <w:right w:val="single" w:sz="8" w:color="2D53A6"/>
            </w:tcBorders>
            <w:shd w:val="clear" w:color="auto" w:fill="2D53A6"/>
          </w:tcPr>
          <w:p>
            <w:pPr>
              <w:spacing w:after="0"/>
              <w:rPr>
                <w:sz w:val="14"/>
                <w:szCs w:val="14"/>
                <w:color w:val="auto"/>
              </w:rPr>
            </w:pPr>
          </w:p>
        </w:tc>
        <w:tc>
          <w:tcPr>
            <w:tcW w:w="1420" w:type="dxa"/>
            <w:vAlign w:val="bottom"/>
            <w:tcBorders>
              <w:right w:val="single" w:sz="8" w:color="2D53A6"/>
            </w:tcBorders>
            <w:shd w:val="clear" w:color="auto" w:fill="2D53A6"/>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60" w:type="dxa"/>
            <w:vAlign w:val="bottom"/>
            <w:tcBorders>
              <w:left w:val="single" w:sz="8" w:color="2D53A6"/>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Year</w:t>
            </w:r>
          </w:p>
        </w:tc>
        <w:tc>
          <w:tcPr>
            <w:tcW w:w="134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w w:val="99"/>
              </w:rPr>
              <w:t>Table Total for</w:t>
            </w:r>
          </w:p>
        </w:tc>
        <w:tc>
          <w:tcPr>
            <w:tcW w:w="134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Actually Paid to</w:t>
            </w:r>
          </w:p>
        </w:tc>
        <w:tc>
          <w:tcPr>
            <w:tcW w:w="132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Table Total for</w:t>
            </w:r>
          </w:p>
        </w:tc>
        <w:tc>
          <w:tcPr>
            <w:tcW w:w="134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Actually Paid to</w:t>
            </w:r>
          </w:p>
        </w:tc>
        <w:tc>
          <w:tcPr>
            <w:tcW w:w="134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holder Return</w:t>
            </w:r>
          </w:p>
        </w:tc>
        <w:tc>
          <w:tcPr>
            <w:tcW w:w="134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holder Return</w:t>
            </w:r>
          </w:p>
        </w:tc>
        <w:tc>
          <w:tcPr>
            <w:tcW w:w="134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Net</w:t>
            </w:r>
          </w:p>
        </w:tc>
        <w:tc>
          <w:tcPr>
            <w:tcW w:w="1420" w:type="dxa"/>
            <w:vAlign w:val="bottom"/>
            <w:tcBorders>
              <w:right w:val="single" w:sz="8" w:color="2D53A6"/>
            </w:tcBorders>
            <w:shd w:val="clear" w:color="auto" w:fill="2D53A6"/>
          </w:tcPr>
          <w:p>
            <w:pPr>
              <w:jc w:val="center"/>
              <w:ind w:right="49"/>
              <w:spacing w:after="0" w:line="159" w:lineRule="exact"/>
              <w:rPr>
                <w:sz w:val="20"/>
                <w:szCs w:val="20"/>
                <w:color w:val="auto"/>
              </w:rPr>
            </w:pPr>
            <w:r>
              <w:rPr>
                <w:rFonts w:ascii="Arial" w:cs="Arial" w:eastAsia="Arial" w:hAnsi="Arial"/>
                <w:sz w:val="14"/>
                <w:szCs w:val="14"/>
                <w:b w:val="1"/>
                <w:bCs w:val="1"/>
                <w:color w:val="FFFFFF"/>
              </w:rPr>
              <w:t>Non-GAAP Pre-</w:t>
            </w:r>
          </w:p>
        </w:tc>
        <w:tc>
          <w:tcPr>
            <w:tcW w:w="0" w:type="dxa"/>
            <w:vAlign w:val="bottom"/>
          </w:tcPr>
          <w:p>
            <w:pPr>
              <w:spacing w:after="0"/>
              <w:rPr>
                <w:sz w:val="1"/>
                <w:szCs w:val="1"/>
                <w:color w:val="auto"/>
              </w:rPr>
            </w:pPr>
          </w:p>
        </w:tc>
      </w:tr>
      <w:tr>
        <w:trPr>
          <w:trHeight w:val="162"/>
        </w:trPr>
        <w:tc>
          <w:tcPr>
            <w:tcW w:w="460" w:type="dxa"/>
            <w:vAlign w:val="bottom"/>
            <w:tcBorders>
              <w:left w:val="single" w:sz="8" w:color="2D53A6"/>
              <w:right w:val="single" w:sz="8" w:color="2D53A6"/>
            </w:tcBorders>
            <w:vMerge w:val="continue"/>
            <w:shd w:val="clear" w:color="auto" w:fill="2D53A6"/>
          </w:tcPr>
          <w:p>
            <w:pPr>
              <w:spacing w:after="0"/>
              <w:rPr>
                <w:sz w:val="14"/>
                <w:szCs w:val="14"/>
                <w:color w:val="auto"/>
              </w:rPr>
            </w:pPr>
          </w:p>
        </w:tc>
        <w:tc>
          <w:tcPr>
            <w:tcW w:w="1340" w:type="dxa"/>
            <w:vAlign w:val="bottom"/>
            <w:tcBorders>
              <w:right w:val="single" w:sz="8" w:color="2D53A6"/>
            </w:tcBorders>
            <w:shd w:val="clear" w:color="auto" w:fill="2D53A6"/>
          </w:tcPr>
          <w:p>
            <w:pPr>
              <w:jc w:val="center"/>
              <w:spacing w:after="0" w:line="162" w:lineRule="exact"/>
              <w:rPr>
                <w:sz w:val="20"/>
                <w:szCs w:val="20"/>
                <w:color w:val="auto"/>
              </w:rPr>
            </w:pPr>
            <w:r>
              <w:rPr>
                <w:rFonts w:ascii="Arial" w:cs="Arial" w:eastAsia="Arial" w:hAnsi="Arial"/>
                <w:sz w:val="12"/>
                <w:szCs w:val="12"/>
                <w:b w:val="1"/>
                <w:bCs w:val="1"/>
                <w:color w:val="FFFFFF"/>
              </w:rPr>
              <w:t xml:space="preserve">CEO </w:t>
            </w:r>
            <w:r>
              <w:rPr>
                <w:rFonts w:ascii="Arial" w:cs="Arial" w:eastAsia="Arial" w:hAnsi="Arial"/>
                <w:sz w:val="18"/>
                <w:szCs w:val="18"/>
                <w:b w:val="1"/>
                <w:bCs w:val="1"/>
                <w:color w:val="FFFFFF"/>
                <w:vertAlign w:val="superscript"/>
              </w:rPr>
              <w:t>(1)</w:t>
            </w:r>
          </w:p>
        </w:tc>
        <w:tc>
          <w:tcPr>
            <w:tcW w:w="1340" w:type="dxa"/>
            <w:vAlign w:val="bottom"/>
            <w:tcBorders>
              <w:right w:val="single" w:sz="8" w:color="2D53A6"/>
            </w:tcBorders>
            <w:shd w:val="clear" w:color="auto" w:fill="2D53A6"/>
          </w:tcPr>
          <w:p>
            <w:pPr>
              <w:jc w:val="center"/>
              <w:spacing w:after="0" w:line="162" w:lineRule="exact"/>
              <w:rPr>
                <w:sz w:val="20"/>
                <w:szCs w:val="20"/>
                <w:color w:val="auto"/>
              </w:rPr>
            </w:pPr>
            <w:r>
              <w:rPr>
                <w:rFonts w:ascii="Arial" w:cs="Arial" w:eastAsia="Arial" w:hAnsi="Arial"/>
                <w:sz w:val="12"/>
                <w:szCs w:val="12"/>
                <w:b w:val="1"/>
                <w:bCs w:val="1"/>
                <w:color w:val="FFFFFF"/>
              </w:rPr>
              <w:t xml:space="preserve">CEO </w:t>
            </w:r>
            <w:r>
              <w:rPr>
                <w:rFonts w:ascii="Arial" w:cs="Arial" w:eastAsia="Arial" w:hAnsi="Arial"/>
                <w:sz w:val="18"/>
                <w:szCs w:val="18"/>
                <w:b w:val="1"/>
                <w:bCs w:val="1"/>
                <w:color w:val="FFFFFF"/>
                <w:vertAlign w:val="superscript"/>
              </w:rPr>
              <w:t>(2)</w:t>
            </w:r>
          </w:p>
        </w:tc>
        <w:tc>
          <w:tcPr>
            <w:tcW w:w="1320" w:type="dxa"/>
            <w:vAlign w:val="bottom"/>
            <w:tcBorders>
              <w:right w:val="single" w:sz="8" w:color="2D53A6"/>
            </w:tcBorders>
            <w:shd w:val="clear" w:color="auto" w:fill="2D53A6"/>
          </w:tcPr>
          <w:p>
            <w:pPr>
              <w:jc w:val="center"/>
              <w:spacing w:after="0" w:line="162" w:lineRule="exact"/>
              <w:rPr>
                <w:sz w:val="20"/>
                <w:szCs w:val="20"/>
                <w:color w:val="auto"/>
              </w:rPr>
            </w:pPr>
            <w:r>
              <w:rPr>
                <w:rFonts w:ascii="Arial" w:cs="Arial" w:eastAsia="Arial" w:hAnsi="Arial"/>
                <w:sz w:val="12"/>
                <w:szCs w:val="12"/>
                <w:b w:val="1"/>
                <w:bCs w:val="1"/>
                <w:color w:val="FFFFFF"/>
              </w:rPr>
              <w:t xml:space="preserve">Other NEOs </w:t>
            </w:r>
            <w:r>
              <w:rPr>
                <w:rFonts w:ascii="Arial" w:cs="Arial" w:eastAsia="Arial" w:hAnsi="Arial"/>
                <w:sz w:val="18"/>
                <w:szCs w:val="18"/>
                <w:b w:val="1"/>
                <w:bCs w:val="1"/>
                <w:color w:val="FFFFFF"/>
                <w:vertAlign w:val="superscript"/>
              </w:rPr>
              <w:t>(3)</w:t>
            </w:r>
          </w:p>
        </w:tc>
        <w:tc>
          <w:tcPr>
            <w:tcW w:w="1340" w:type="dxa"/>
            <w:vAlign w:val="bottom"/>
            <w:tcBorders>
              <w:right w:val="single" w:sz="8" w:color="2D53A6"/>
            </w:tcBorders>
            <w:shd w:val="clear" w:color="auto" w:fill="2D53A6"/>
          </w:tcPr>
          <w:p>
            <w:pPr>
              <w:jc w:val="center"/>
              <w:spacing w:after="0" w:line="162" w:lineRule="exact"/>
              <w:rPr>
                <w:sz w:val="20"/>
                <w:szCs w:val="20"/>
                <w:color w:val="auto"/>
              </w:rPr>
            </w:pPr>
            <w:r>
              <w:rPr>
                <w:rFonts w:ascii="Arial" w:cs="Arial" w:eastAsia="Arial" w:hAnsi="Arial"/>
                <w:sz w:val="12"/>
                <w:szCs w:val="12"/>
                <w:b w:val="1"/>
                <w:bCs w:val="1"/>
                <w:color w:val="FFFFFF"/>
              </w:rPr>
              <w:t xml:space="preserve">Other NEOs </w:t>
            </w:r>
            <w:r>
              <w:rPr>
                <w:rFonts w:ascii="Arial" w:cs="Arial" w:eastAsia="Arial" w:hAnsi="Arial"/>
                <w:sz w:val="18"/>
                <w:szCs w:val="18"/>
                <w:b w:val="1"/>
                <w:bCs w:val="1"/>
                <w:color w:val="FFFFFF"/>
                <w:vertAlign w:val="superscript"/>
              </w:rPr>
              <w:t>(4)</w:t>
            </w:r>
          </w:p>
        </w:tc>
        <w:tc>
          <w:tcPr>
            <w:tcW w:w="1340" w:type="dxa"/>
            <w:vAlign w:val="bottom"/>
            <w:tcBorders>
              <w:right w:val="single" w:sz="8" w:color="2D53A6"/>
            </w:tcBorders>
            <w:shd w:val="clear" w:color="auto" w:fill="2D53A6"/>
          </w:tcPr>
          <w:p>
            <w:pPr>
              <w:ind w:left="600"/>
              <w:spacing w:after="0"/>
              <w:rPr>
                <w:sz w:val="20"/>
                <w:szCs w:val="20"/>
                <w:color w:val="auto"/>
              </w:rPr>
            </w:pPr>
            <w:r>
              <w:rPr>
                <w:rFonts w:ascii="Arial" w:cs="Arial" w:eastAsia="Arial" w:hAnsi="Arial"/>
                <w:sz w:val="12"/>
                <w:szCs w:val="12"/>
                <w:b w:val="1"/>
                <w:bCs w:val="1"/>
                <w:color w:val="FFFFFF"/>
              </w:rPr>
              <w:t>(5)</w:t>
            </w:r>
          </w:p>
        </w:tc>
        <w:tc>
          <w:tcPr>
            <w:tcW w:w="1340" w:type="dxa"/>
            <w:vAlign w:val="bottom"/>
            <w:tcBorders>
              <w:right w:val="single" w:sz="8" w:color="2D53A6"/>
            </w:tcBorders>
            <w:shd w:val="clear" w:color="auto" w:fill="2D53A6"/>
          </w:tcPr>
          <w:p>
            <w:pPr>
              <w:jc w:val="right"/>
              <w:ind w:right="529"/>
              <w:spacing w:after="0"/>
              <w:rPr>
                <w:sz w:val="20"/>
                <w:szCs w:val="20"/>
                <w:color w:val="auto"/>
              </w:rPr>
            </w:pPr>
            <w:r>
              <w:rPr>
                <w:rFonts w:ascii="Arial" w:cs="Arial" w:eastAsia="Arial" w:hAnsi="Arial"/>
                <w:sz w:val="12"/>
                <w:szCs w:val="12"/>
                <w:b w:val="1"/>
                <w:bCs w:val="1"/>
                <w:color w:val="FFFFFF"/>
              </w:rPr>
              <w:t>(6)</w:t>
            </w:r>
          </w:p>
        </w:tc>
        <w:tc>
          <w:tcPr>
            <w:tcW w:w="1340" w:type="dxa"/>
            <w:vAlign w:val="bottom"/>
            <w:tcBorders>
              <w:right w:val="single" w:sz="8" w:color="2D53A6"/>
            </w:tcBorders>
            <w:shd w:val="clear" w:color="auto" w:fill="2D53A6"/>
          </w:tcPr>
          <w:p>
            <w:pPr>
              <w:jc w:val="center"/>
              <w:spacing w:after="0" w:line="162" w:lineRule="exact"/>
              <w:rPr>
                <w:sz w:val="20"/>
                <w:szCs w:val="20"/>
                <w:color w:val="auto"/>
              </w:rPr>
            </w:pPr>
            <w:r>
              <w:rPr>
                <w:rFonts w:ascii="Arial" w:cs="Arial" w:eastAsia="Arial" w:hAnsi="Arial"/>
                <w:sz w:val="12"/>
                <w:szCs w:val="12"/>
                <w:b w:val="1"/>
                <w:bCs w:val="1"/>
                <w:color w:val="FFFFFF"/>
              </w:rPr>
              <w:t xml:space="preserve">Income </w:t>
            </w:r>
            <w:r>
              <w:rPr>
                <w:rFonts w:ascii="Arial" w:cs="Arial" w:eastAsia="Arial" w:hAnsi="Arial"/>
                <w:sz w:val="18"/>
                <w:szCs w:val="18"/>
                <w:b w:val="1"/>
                <w:bCs w:val="1"/>
                <w:color w:val="FFFFFF"/>
                <w:vertAlign w:val="superscript"/>
              </w:rPr>
              <w:t>(7)</w:t>
            </w:r>
          </w:p>
        </w:tc>
        <w:tc>
          <w:tcPr>
            <w:tcW w:w="1420" w:type="dxa"/>
            <w:vAlign w:val="bottom"/>
            <w:tcBorders>
              <w:right w:val="single" w:sz="8" w:color="2D53A6"/>
            </w:tcBorders>
            <w:shd w:val="clear" w:color="auto" w:fill="2D53A6"/>
          </w:tcPr>
          <w:p>
            <w:pPr>
              <w:jc w:val="center"/>
              <w:ind w:right="29"/>
              <w:spacing w:after="0"/>
              <w:rPr>
                <w:sz w:val="20"/>
                <w:szCs w:val="20"/>
                <w:color w:val="auto"/>
              </w:rPr>
            </w:pPr>
            <w:r>
              <w:rPr>
                <w:rFonts w:ascii="Arial" w:cs="Arial" w:eastAsia="Arial" w:hAnsi="Arial"/>
                <w:sz w:val="14"/>
                <w:szCs w:val="14"/>
                <w:b w:val="1"/>
                <w:bCs w:val="1"/>
                <w:color w:val="FFFFFF"/>
                <w:w w:val="98"/>
              </w:rPr>
              <w:t>tax</w:t>
            </w:r>
          </w:p>
        </w:tc>
        <w:tc>
          <w:tcPr>
            <w:tcW w:w="0" w:type="dxa"/>
            <w:vAlign w:val="bottom"/>
          </w:tcPr>
          <w:p>
            <w:pPr>
              <w:spacing w:after="0"/>
              <w:rPr>
                <w:sz w:val="1"/>
                <w:szCs w:val="1"/>
                <w:color w:val="auto"/>
              </w:rPr>
            </w:pPr>
          </w:p>
        </w:tc>
      </w:tr>
      <w:tr>
        <w:trPr>
          <w:trHeight w:val="174"/>
        </w:trPr>
        <w:tc>
          <w:tcPr>
            <w:tcW w:w="460" w:type="dxa"/>
            <w:vAlign w:val="bottom"/>
            <w:tcBorders>
              <w:left w:val="single" w:sz="8" w:color="2D53A6"/>
              <w:right w:val="single" w:sz="8" w:color="2D53A6"/>
            </w:tcBorders>
            <w:shd w:val="clear" w:color="auto" w:fill="2D53A6"/>
          </w:tcPr>
          <w:p>
            <w:pPr>
              <w:spacing w:after="0"/>
              <w:rPr>
                <w:sz w:val="15"/>
                <w:szCs w:val="15"/>
                <w:color w:val="auto"/>
              </w:rPr>
            </w:pPr>
          </w:p>
        </w:tc>
        <w:tc>
          <w:tcPr>
            <w:tcW w:w="1340" w:type="dxa"/>
            <w:vAlign w:val="bottom"/>
            <w:tcBorders>
              <w:right w:val="single" w:sz="8" w:color="2D53A6"/>
            </w:tcBorders>
            <w:shd w:val="clear" w:color="auto" w:fill="2D53A6"/>
          </w:tcPr>
          <w:p>
            <w:pPr>
              <w:ind w:left="580"/>
              <w:spacing w:after="0"/>
              <w:rPr>
                <w:sz w:val="20"/>
                <w:szCs w:val="20"/>
                <w:color w:val="auto"/>
              </w:rPr>
            </w:pPr>
            <w:r>
              <w:rPr>
                <w:rFonts w:ascii="Arial" w:cs="Arial" w:eastAsia="Arial" w:hAnsi="Arial"/>
                <w:sz w:val="14"/>
                <w:szCs w:val="14"/>
                <w:b w:val="1"/>
                <w:bCs w:val="1"/>
                <w:color w:val="FFFFFF"/>
              </w:rPr>
              <w:t>($)</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3"/>
              </w:rPr>
              <w:t>($)</w:t>
            </w:r>
          </w:p>
        </w:tc>
        <w:tc>
          <w:tcPr>
            <w:tcW w:w="1320" w:type="dxa"/>
            <w:vAlign w:val="bottom"/>
            <w:tcBorders>
              <w:right w:val="single" w:sz="8" w:color="2D53A6"/>
            </w:tcBorders>
            <w:shd w:val="clear" w:color="auto" w:fill="2D53A6"/>
          </w:tcPr>
          <w:p>
            <w:pPr>
              <w:ind w:left="560"/>
              <w:spacing w:after="0"/>
              <w:rPr>
                <w:sz w:val="20"/>
                <w:szCs w:val="20"/>
                <w:color w:val="auto"/>
              </w:rPr>
            </w:pPr>
            <w:r>
              <w:rPr>
                <w:rFonts w:ascii="Arial" w:cs="Arial" w:eastAsia="Arial" w:hAnsi="Arial"/>
                <w:sz w:val="14"/>
                <w:szCs w:val="14"/>
                <w:b w:val="1"/>
                <w:bCs w:val="1"/>
                <w:color w:val="FFFFFF"/>
              </w:rPr>
              <w:t>($)</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340" w:type="dxa"/>
            <w:vAlign w:val="bottom"/>
            <w:tcBorders>
              <w:right w:val="single" w:sz="8" w:color="2D53A6"/>
            </w:tcBorders>
            <w:shd w:val="clear" w:color="auto" w:fill="2D53A6"/>
          </w:tcPr>
          <w:p>
            <w:pPr>
              <w:ind w:left="600"/>
              <w:spacing w:after="0"/>
              <w:rPr>
                <w:sz w:val="20"/>
                <w:szCs w:val="20"/>
                <w:color w:val="auto"/>
              </w:rPr>
            </w:pPr>
            <w:r>
              <w:rPr>
                <w:rFonts w:ascii="Arial" w:cs="Arial" w:eastAsia="Arial" w:hAnsi="Arial"/>
                <w:sz w:val="14"/>
                <w:szCs w:val="14"/>
                <w:b w:val="1"/>
                <w:bCs w:val="1"/>
                <w:color w:val="FFFFFF"/>
              </w:rPr>
              <w:t>($)</w:t>
            </w:r>
          </w:p>
        </w:tc>
        <w:tc>
          <w:tcPr>
            <w:tcW w:w="1340" w:type="dxa"/>
            <w:vAlign w:val="bottom"/>
            <w:tcBorders>
              <w:right w:val="single" w:sz="8" w:color="2D53A6"/>
            </w:tcBorders>
            <w:shd w:val="clear" w:color="auto" w:fill="2D53A6"/>
          </w:tcPr>
          <w:p>
            <w:pPr>
              <w:jc w:val="right"/>
              <w:ind w:right="529"/>
              <w:spacing w:after="0"/>
              <w:rPr>
                <w:sz w:val="20"/>
                <w:szCs w:val="20"/>
                <w:color w:val="auto"/>
              </w:rPr>
            </w:pPr>
            <w:r>
              <w:rPr>
                <w:rFonts w:ascii="Arial" w:cs="Arial" w:eastAsia="Arial" w:hAnsi="Arial"/>
                <w:sz w:val="14"/>
                <w:szCs w:val="14"/>
                <w:b w:val="1"/>
                <w:bCs w:val="1"/>
                <w:color w:val="FFFFFF"/>
              </w:rPr>
              <w:t>($)</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7"/>
              </w:rPr>
              <w:t>($M)</w:t>
            </w:r>
          </w:p>
        </w:tc>
        <w:tc>
          <w:tcPr>
            <w:tcW w:w="1420" w:type="dxa"/>
            <w:vAlign w:val="bottom"/>
            <w:tcBorders>
              <w:right w:val="single" w:sz="8" w:color="2D53A6"/>
            </w:tcBorders>
            <w:shd w:val="clear" w:color="auto" w:fill="2D53A6"/>
          </w:tcPr>
          <w:p>
            <w:pPr>
              <w:jc w:val="center"/>
              <w:ind w:right="69"/>
              <w:spacing w:after="0" w:line="175" w:lineRule="exact"/>
              <w:rPr>
                <w:sz w:val="20"/>
                <w:szCs w:val="20"/>
                <w:color w:val="auto"/>
              </w:rPr>
            </w:pPr>
            <w:r>
              <w:rPr>
                <w:rFonts w:ascii="Arial" w:cs="Arial" w:eastAsia="Arial" w:hAnsi="Arial"/>
                <w:sz w:val="13"/>
                <w:szCs w:val="13"/>
                <w:b w:val="1"/>
                <w:bCs w:val="1"/>
                <w:color w:val="FFFFFF"/>
              </w:rPr>
              <w:t xml:space="preserve">Income </w:t>
            </w:r>
            <w:r>
              <w:rPr>
                <w:rFonts w:ascii="Arial" w:cs="Arial" w:eastAsia="Arial" w:hAnsi="Arial"/>
                <w:sz w:val="20"/>
                <w:szCs w:val="20"/>
                <w:b w:val="1"/>
                <w:bCs w:val="1"/>
                <w:color w:val="FFFFFF"/>
                <w:vertAlign w:val="superscript"/>
              </w:rPr>
              <w:t>(8)</w:t>
            </w:r>
          </w:p>
        </w:tc>
        <w:tc>
          <w:tcPr>
            <w:tcW w:w="0" w:type="dxa"/>
            <w:vAlign w:val="bottom"/>
          </w:tcPr>
          <w:p>
            <w:pPr>
              <w:spacing w:after="0"/>
              <w:rPr>
                <w:sz w:val="1"/>
                <w:szCs w:val="1"/>
                <w:color w:val="auto"/>
              </w:rPr>
            </w:pPr>
          </w:p>
        </w:tc>
      </w:tr>
      <w:tr>
        <w:trPr>
          <w:trHeight w:val="189"/>
        </w:trPr>
        <w:tc>
          <w:tcPr>
            <w:tcW w:w="460" w:type="dxa"/>
            <w:vAlign w:val="bottom"/>
            <w:tcBorders>
              <w:left w:val="single" w:sz="8" w:color="2D53A6"/>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t>
            </w:r>
          </w:p>
        </w:tc>
        <w:tc>
          <w:tcPr>
            <w:tcW w:w="1340" w:type="dxa"/>
            <w:vAlign w:val="bottom"/>
            <w:tcBorders>
              <w:right w:val="single" w:sz="8" w:color="2D53A6"/>
            </w:tcBorders>
            <w:shd w:val="clear" w:color="auto" w:fill="2D53A6"/>
          </w:tcPr>
          <w:p>
            <w:pPr>
              <w:ind w:left="580"/>
              <w:spacing w:after="0"/>
              <w:rPr>
                <w:sz w:val="20"/>
                <w:szCs w:val="20"/>
                <w:color w:val="auto"/>
              </w:rPr>
            </w:pPr>
            <w:r>
              <w:rPr>
                <w:rFonts w:ascii="Arial" w:cs="Arial" w:eastAsia="Arial" w:hAnsi="Arial"/>
                <w:sz w:val="14"/>
                <w:szCs w:val="14"/>
                <w:b w:val="1"/>
                <w:bCs w:val="1"/>
                <w:color w:val="FFFFFF"/>
              </w:rPr>
              <w:t>(b)</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3"/>
              </w:rPr>
              <w:t>(c)</w:t>
            </w:r>
          </w:p>
        </w:tc>
        <w:tc>
          <w:tcPr>
            <w:tcW w:w="1320" w:type="dxa"/>
            <w:vAlign w:val="bottom"/>
            <w:tcBorders>
              <w:right w:val="single" w:sz="8" w:color="2D53A6"/>
            </w:tcBorders>
            <w:shd w:val="clear" w:color="auto" w:fill="2D53A6"/>
          </w:tcPr>
          <w:p>
            <w:pPr>
              <w:ind w:left="560"/>
              <w:spacing w:after="0"/>
              <w:rPr>
                <w:sz w:val="20"/>
                <w:szCs w:val="20"/>
                <w:color w:val="auto"/>
              </w:rPr>
            </w:pPr>
            <w:r>
              <w:rPr>
                <w:rFonts w:ascii="Arial" w:cs="Arial" w:eastAsia="Arial" w:hAnsi="Arial"/>
                <w:sz w:val="14"/>
                <w:szCs w:val="14"/>
                <w:b w:val="1"/>
                <w:bCs w:val="1"/>
                <w:color w:val="FFFFFF"/>
              </w:rPr>
              <w:t>(d)</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(e)</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9"/>
              </w:rPr>
              <w:t>(f)</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(g)</w:t>
            </w:r>
          </w:p>
        </w:tc>
        <w:tc>
          <w:tcPr>
            <w:tcW w:w="13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(h)</w:t>
            </w:r>
          </w:p>
        </w:tc>
        <w:tc>
          <w:tcPr>
            <w:tcW w:w="1420" w:type="dxa"/>
            <w:vAlign w:val="bottom"/>
            <w:tcBorders>
              <w:right w:val="single" w:sz="8" w:color="2D53A6"/>
            </w:tcBorders>
            <w:shd w:val="clear" w:color="auto" w:fill="2D53A6"/>
          </w:tcPr>
          <w:p>
            <w:pPr>
              <w:jc w:val="center"/>
              <w:ind w:right="49"/>
              <w:spacing w:after="0"/>
              <w:rPr>
                <w:sz w:val="20"/>
                <w:szCs w:val="20"/>
                <w:color w:val="auto"/>
              </w:rPr>
            </w:pPr>
            <w:r>
              <w:rPr>
                <w:rFonts w:ascii="Arial" w:cs="Arial" w:eastAsia="Arial" w:hAnsi="Arial"/>
                <w:sz w:val="14"/>
                <w:szCs w:val="14"/>
                <w:b w:val="1"/>
                <w:bCs w:val="1"/>
                <w:color w:val="FFFFFF"/>
              </w:rPr>
              <w:t>(i)</w:t>
            </w:r>
          </w:p>
        </w:tc>
        <w:tc>
          <w:tcPr>
            <w:tcW w:w="0" w:type="dxa"/>
            <w:vAlign w:val="bottom"/>
          </w:tcPr>
          <w:p>
            <w:pPr>
              <w:spacing w:after="0"/>
              <w:rPr>
                <w:sz w:val="1"/>
                <w:szCs w:val="1"/>
                <w:color w:val="auto"/>
              </w:rPr>
            </w:pPr>
          </w:p>
        </w:tc>
      </w:tr>
      <w:tr>
        <w:trPr>
          <w:trHeight w:val="162"/>
        </w:trPr>
        <w:tc>
          <w:tcPr>
            <w:tcW w:w="460" w:type="dxa"/>
            <w:vAlign w:val="bottom"/>
            <w:tcBorders>
              <w:left w:val="single" w:sz="8" w:color="2D53A6"/>
              <w:bottom w:val="single" w:sz="8" w:color="2D53A6"/>
              <w:right w:val="single" w:sz="8" w:color="2D53A6"/>
            </w:tcBorders>
          </w:tcPr>
          <w:p>
            <w:pPr>
              <w:jc w:val="center"/>
              <w:spacing w:after="0"/>
              <w:rPr>
                <w:sz w:val="20"/>
                <w:szCs w:val="20"/>
                <w:color w:val="auto"/>
              </w:rPr>
            </w:pPr>
            <w:r>
              <w:rPr>
                <w:rFonts w:ascii="Arial" w:cs="Arial" w:eastAsia="Arial" w:hAnsi="Arial"/>
                <w:sz w:val="14"/>
                <w:szCs w:val="14"/>
                <w:color w:val="auto"/>
              </w:rPr>
              <w:t>2024</w:t>
            </w:r>
          </w:p>
        </w:tc>
        <w:tc>
          <w:tcPr>
            <w:tcW w:w="1340" w:type="dxa"/>
            <w:vAlign w:val="bottom"/>
            <w:tcBorders>
              <w:bottom w:val="single" w:sz="8" w:color="2D53A6"/>
              <w:right w:val="single" w:sz="8" w:color="2D53A6"/>
            </w:tcBorders>
          </w:tcPr>
          <w:p>
            <w:pPr>
              <w:ind w:left="580"/>
              <w:spacing w:after="0"/>
              <w:rPr>
                <w:sz w:val="20"/>
                <w:szCs w:val="20"/>
                <w:color w:val="auto"/>
              </w:rPr>
            </w:pPr>
            <w:r>
              <w:rPr>
                <w:rFonts w:ascii="Arial" w:cs="Arial" w:eastAsia="Arial" w:hAnsi="Arial"/>
                <w:sz w:val="14"/>
                <w:szCs w:val="14"/>
                <w:color w:val="auto"/>
              </w:rPr>
              <w:t>4,831,084</w:t>
            </w:r>
          </w:p>
        </w:tc>
        <w:tc>
          <w:tcPr>
            <w:tcW w:w="1340" w:type="dxa"/>
            <w:vAlign w:val="bottom"/>
            <w:tcBorders>
              <w:bottom w:val="single" w:sz="8" w:color="2D53A6"/>
              <w:right w:val="single" w:sz="8" w:color="2D53A6"/>
            </w:tcBorders>
          </w:tcPr>
          <w:p>
            <w:pPr>
              <w:jc w:val="right"/>
              <w:ind w:right="9"/>
              <w:spacing w:after="0"/>
              <w:rPr>
                <w:sz w:val="20"/>
                <w:szCs w:val="20"/>
                <w:color w:val="auto"/>
              </w:rPr>
            </w:pPr>
            <w:r>
              <w:rPr>
                <w:rFonts w:ascii="Arial" w:cs="Arial" w:eastAsia="Arial" w:hAnsi="Arial"/>
                <w:sz w:val="14"/>
                <w:szCs w:val="14"/>
                <w:color w:val="auto"/>
              </w:rPr>
              <w:t>(1,458,139)</w:t>
            </w:r>
          </w:p>
        </w:tc>
        <w:tc>
          <w:tcPr>
            <w:tcW w:w="1320" w:type="dxa"/>
            <w:vAlign w:val="bottom"/>
            <w:tcBorders>
              <w:bottom w:val="single" w:sz="8" w:color="2D53A6"/>
              <w:right w:val="single" w:sz="8" w:color="2D53A6"/>
            </w:tcBorders>
          </w:tcPr>
          <w:p>
            <w:pPr>
              <w:ind w:left="580"/>
              <w:spacing w:after="0"/>
              <w:rPr>
                <w:sz w:val="20"/>
                <w:szCs w:val="20"/>
                <w:color w:val="auto"/>
              </w:rPr>
            </w:pPr>
            <w:r>
              <w:rPr>
                <w:rFonts w:ascii="Arial" w:cs="Arial" w:eastAsia="Arial" w:hAnsi="Arial"/>
                <w:sz w:val="14"/>
                <w:szCs w:val="14"/>
                <w:color w:val="auto"/>
              </w:rPr>
              <w:t>1,286,156</w:t>
            </w:r>
          </w:p>
        </w:tc>
        <w:tc>
          <w:tcPr>
            <w:tcW w:w="13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4"/>
                <w:szCs w:val="14"/>
                <w:color w:val="auto"/>
              </w:rPr>
              <w:t>(143,258)</w:t>
            </w:r>
          </w:p>
        </w:tc>
        <w:tc>
          <w:tcPr>
            <w:tcW w:w="134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120.65</w:t>
            </w:r>
          </w:p>
        </w:tc>
        <w:tc>
          <w:tcPr>
            <w:tcW w:w="134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206.70</w:t>
            </w:r>
          </w:p>
        </w:tc>
        <w:tc>
          <w:tcPr>
            <w:tcW w:w="1340" w:type="dxa"/>
            <w:vAlign w:val="bottom"/>
            <w:tcBorders>
              <w:bottom w:val="single" w:sz="8" w:color="2D53A6"/>
              <w:right w:val="single" w:sz="8" w:color="2D53A6"/>
            </w:tcBorders>
          </w:tcPr>
          <w:p>
            <w:pPr>
              <w:jc w:val="right"/>
              <w:ind w:right="9"/>
              <w:spacing w:after="0"/>
              <w:rPr>
                <w:sz w:val="20"/>
                <w:szCs w:val="20"/>
                <w:color w:val="auto"/>
              </w:rPr>
            </w:pPr>
            <w:r>
              <w:rPr>
                <w:rFonts w:ascii="Arial" w:cs="Arial" w:eastAsia="Arial" w:hAnsi="Arial"/>
                <w:sz w:val="14"/>
                <w:szCs w:val="14"/>
                <w:color w:val="auto"/>
              </w:rPr>
              <w:t>(9.1)</w:t>
            </w:r>
          </w:p>
        </w:tc>
        <w:tc>
          <w:tcPr>
            <w:tcW w:w="14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56"/>
        </w:trPr>
        <w:tc>
          <w:tcPr>
            <w:tcW w:w="460" w:type="dxa"/>
            <w:vAlign w:val="bottom"/>
            <w:tcBorders>
              <w:left w:val="single" w:sz="8" w:color="2D53A6"/>
              <w:bottom w:val="single" w:sz="8" w:color="2D53A6"/>
              <w:right w:val="single" w:sz="8" w:color="2D53A6"/>
            </w:tcBorders>
            <w:shd w:val="clear" w:color="auto" w:fill="E6E6E6"/>
          </w:tcPr>
          <w:p>
            <w:pPr>
              <w:jc w:val="center"/>
              <w:spacing w:after="0" w:line="155" w:lineRule="exact"/>
              <w:rPr>
                <w:sz w:val="20"/>
                <w:szCs w:val="20"/>
                <w:color w:val="auto"/>
              </w:rPr>
            </w:pPr>
            <w:r>
              <w:rPr>
                <w:rFonts w:ascii="Arial" w:cs="Arial" w:eastAsia="Arial" w:hAnsi="Arial"/>
                <w:sz w:val="14"/>
                <w:szCs w:val="14"/>
                <w:color w:val="auto"/>
              </w:rPr>
              <w:t>2023</w:t>
            </w:r>
          </w:p>
        </w:tc>
        <w:tc>
          <w:tcPr>
            <w:tcW w:w="1340" w:type="dxa"/>
            <w:vAlign w:val="bottom"/>
            <w:tcBorders>
              <w:bottom w:val="single" w:sz="8" w:color="2D53A6"/>
              <w:right w:val="single" w:sz="8" w:color="2D53A6"/>
            </w:tcBorders>
            <w:shd w:val="clear" w:color="auto" w:fill="E6E6E6"/>
          </w:tcPr>
          <w:p>
            <w:pPr>
              <w:ind w:left="580"/>
              <w:spacing w:after="0" w:line="155" w:lineRule="exact"/>
              <w:rPr>
                <w:sz w:val="20"/>
                <w:szCs w:val="20"/>
                <w:color w:val="auto"/>
              </w:rPr>
            </w:pPr>
            <w:r>
              <w:rPr>
                <w:rFonts w:ascii="Arial" w:cs="Arial" w:eastAsia="Arial" w:hAnsi="Arial"/>
                <w:sz w:val="14"/>
                <w:szCs w:val="14"/>
                <w:color w:val="auto"/>
              </w:rPr>
              <w:t>6,536,607</w:t>
            </w:r>
          </w:p>
        </w:tc>
        <w:tc>
          <w:tcPr>
            <w:tcW w:w="1340" w:type="dxa"/>
            <w:vAlign w:val="bottom"/>
            <w:tcBorders>
              <w:bottom w:val="single" w:sz="8" w:color="2D53A6"/>
              <w:right w:val="single" w:sz="8" w:color="2D53A6"/>
            </w:tcBorders>
            <w:shd w:val="clear" w:color="auto" w:fill="E6E6E6"/>
          </w:tcPr>
          <w:p>
            <w:pPr>
              <w:jc w:val="right"/>
              <w:ind w:right="49"/>
              <w:spacing w:after="0" w:line="155" w:lineRule="exact"/>
              <w:rPr>
                <w:sz w:val="20"/>
                <w:szCs w:val="20"/>
                <w:color w:val="auto"/>
              </w:rPr>
            </w:pPr>
            <w:r>
              <w:rPr>
                <w:rFonts w:ascii="Arial" w:cs="Arial" w:eastAsia="Arial" w:hAnsi="Arial"/>
                <w:sz w:val="14"/>
                <w:szCs w:val="14"/>
                <w:color w:val="auto"/>
              </w:rPr>
              <w:t>3,579,668</w:t>
            </w:r>
          </w:p>
        </w:tc>
        <w:tc>
          <w:tcPr>
            <w:tcW w:w="1320" w:type="dxa"/>
            <w:vAlign w:val="bottom"/>
            <w:tcBorders>
              <w:bottom w:val="single" w:sz="8" w:color="2D53A6"/>
              <w:right w:val="single" w:sz="8" w:color="2D53A6"/>
            </w:tcBorders>
            <w:shd w:val="clear" w:color="auto" w:fill="E6E6E6"/>
          </w:tcPr>
          <w:p>
            <w:pPr>
              <w:ind w:left="580"/>
              <w:spacing w:after="0" w:line="155" w:lineRule="exact"/>
              <w:rPr>
                <w:sz w:val="20"/>
                <w:szCs w:val="20"/>
                <w:color w:val="auto"/>
              </w:rPr>
            </w:pPr>
            <w:r>
              <w:rPr>
                <w:rFonts w:ascii="Arial" w:cs="Arial" w:eastAsia="Arial" w:hAnsi="Arial"/>
                <w:sz w:val="14"/>
                <w:szCs w:val="14"/>
                <w:color w:val="auto"/>
              </w:rPr>
              <w:t>1,727,107</w:t>
            </w:r>
          </w:p>
        </w:tc>
        <w:tc>
          <w:tcPr>
            <w:tcW w:w="1340" w:type="dxa"/>
            <w:vAlign w:val="bottom"/>
            <w:tcBorders>
              <w:bottom w:val="single" w:sz="8" w:color="2D53A6"/>
              <w:right w:val="single" w:sz="8" w:color="2D53A6"/>
            </w:tcBorders>
            <w:shd w:val="clear" w:color="auto" w:fill="E6E6E6"/>
          </w:tcPr>
          <w:p>
            <w:pPr>
              <w:jc w:val="right"/>
              <w:ind w:right="29"/>
              <w:spacing w:after="0" w:line="155" w:lineRule="exact"/>
              <w:rPr>
                <w:sz w:val="20"/>
                <w:szCs w:val="20"/>
                <w:color w:val="auto"/>
              </w:rPr>
            </w:pPr>
            <w:r>
              <w:rPr>
                <w:rFonts w:ascii="Arial" w:cs="Arial" w:eastAsia="Arial" w:hAnsi="Arial"/>
                <w:sz w:val="14"/>
                <w:szCs w:val="14"/>
                <w:color w:val="auto"/>
              </w:rPr>
              <w:t>1,468,471</w:t>
            </w:r>
          </w:p>
        </w:tc>
        <w:tc>
          <w:tcPr>
            <w:tcW w:w="1340" w:type="dxa"/>
            <w:vAlign w:val="bottom"/>
            <w:tcBorders>
              <w:bottom w:val="single" w:sz="8" w:color="2D53A6"/>
              <w:right w:val="single" w:sz="8" w:color="2D53A6"/>
            </w:tcBorders>
            <w:shd w:val="clear" w:color="auto" w:fill="E6E6E6"/>
          </w:tcPr>
          <w:p>
            <w:pPr>
              <w:jc w:val="right"/>
              <w:ind w:right="49"/>
              <w:spacing w:after="0" w:line="155" w:lineRule="exact"/>
              <w:rPr>
                <w:sz w:val="20"/>
                <w:szCs w:val="20"/>
                <w:color w:val="auto"/>
              </w:rPr>
            </w:pPr>
            <w:r>
              <w:rPr>
                <w:rFonts w:ascii="Arial" w:cs="Arial" w:eastAsia="Arial" w:hAnsi="Arial"/>
                <w:sz w:val="14"/>
                <w:szCs w:val="14"/>
                <w:color w:val="auto"/>
              </w:rPr>
              <w:t>159.14</w:t>
            </w:r>
          </w:p>
        </w:tc>
        <w:tc>
          <w:tcPr>
            <w:tcW w:w="1340" w:type="dxa"/>
            <w:vAlign w:val="bottom"/>
            <w:tcBorders>
              <w:bottom w:val="single" w:sz="8" w:color="2D53A6"/>
              <w:right w:val="single" w:sz="8" w:color="2D53A6"/>
            </w:tcBorders>
            <w:shd w:val="clear" w:color="auto" w:fill="E6E6E6"/>
          </w:tcPr>
          <w:p>
            <w:pPr>
              <w:jc w:val="right"/>
              <w:ind w:right="49"/>
              <w:spacing w:after="0" w:line="155" w:lineRule="exact"/>
              <w:rPr>
                <w:sz w:val="20"/>
                <w:szCs w:val="20"/>
                <w:color w:val="auto"/>
              </w:rPr>
            </w:pPr>
            <w:r>
              <w:rPr>
                <w:rFonts w:ascii="Arial" w:cs="Arial" w:eastAsia="Arial" w:hAnsi="Arial"/>
                <w:sz w:val="14"/>
                <w:szCs w:val="14"/>
                <w:color w:val="auto"/>
              </w:rPr>
              <w:t>191.07</w:t>
            </w:r>
          </w:p>
        </w:tc>
        <w:tc>
          <w:tcPr>
            <w:tcW w:w="1340" w:type="dxa"/>
            <w:vAlign w:val="bottom"/>
            <w:tcBorders>
              <w:bottom w:val="single" w:sz="8" w:color="2D53A6"/>
              <w:right w:val="single" w:sz="8" w:color="2D53A6"/>
            </w:tcBorders>
            <w:shd w:val="clear" w:color="auto" w:fill="E6E6E6"/>
          </w:tcPr>
          <w:p>
            <w:pPr>
              <w:jc w:val="right"/>
              <w:ind w:right="49"/>
              <w:spacing w:after="0" w:line="155" w:lineRule="exact"/>
              <w:rPr>
                <w:sz w:val="20"/>
                <w:szCs w:val="20"/>
                <w:color w:val="auto"/>
              </w:rPr>
            </w:pPr>
            <w:r>
              <w:rPr>
                <w:rFonts w:ascii="Arial" w:cs="Arial" w:eastAsia="Arial" w:hAnsi="Arial"/>
                <w:sz w:val="14"/>
                <w:szCs w:val="14"/>
                <w:color w:val="auto"/>
              </w:rPr>
              <w:t>28.2</w:t>
            </w:r>
          </w:p>
        </w:tc>
        <w:tc>
          <w:tcPr>
            <w:tcW w:w="1420" w:type="dxa"/>
            <w:vAlign w:val="bottom"/>
            <w:tcBorders>
              <w:bottom w:val="single" w:sz="8" w:color="2D53A6"/>
              <w:right w:val="single" w:sz="8" w:color="2D53A6"/>
            </w:tcBorders>
            <w:shd w:val="clear" w:color="auto" w:fill="E6E6E6"/>
          </w:tcPr>
          <w:p>
            <w:pPr>
              <w:jc w:val="right"/>
              <w:ind w:right="9"/>
              <w:spacing w:after="0" w:line="155" w:lineRule="exact"/>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55"/>
        </w:trPr>
        <w:tc>
          <w:tcPr>
            <w:tcW w:w="460" w:type="dxa"/>
            <w:vAlign w:val="bottom"/>
            <w:tcBorders>
              <w:left w:val="single" w:sz="8" w:color="2D53A6"/>
              <w:bottom w:val="single" w:sz="8" w:color="2D53A6"/>
              <w:right w:val="single" w:sz="8" w:color="2D53A6"/>
            </w:tcBorders>
          </w:tcPr>
          <w:p>
            <w:pPr>
              <w:jc w:val="center"/>
              <w:spacing w:after="0" w:line="155" w:lineRule="exact"/>
              <w:rPr>
                <w:sz w:val="20"/>
                <w:szCs w:val="20"/>
                <w:color w:val="auto"/>
              </w:rPr>
            </w:pPr>
            <w:r>
              <w:rPr>
                <w:rFonts w:ascii="Arial" w:cs="Arial" w:eastAsia="Arial" w:hAnsi="Arial"/>
                <w:sz w:val="14"/>
                <w:szCs w:val="14"/>
                <w:color w:val="auto"/>
              </w:rPr>
              <w:t>2022</w:t>
            </w:r>
          </w:p>
        </w:tc>
        <w:tc>
          <w:tcPr>
            <w:tcW w:w="1340" w:type="dxa"/>
            <w:vAlign w:val="bottom"/>
            <w:tcBorders>
              <w:bottom w:val="single" w:sz="8" w:color="2D53A6"/>
              <w:right w:val="single" w:sz="8" w:color="2D53A6"/>
            </w:tcBorders>
          </w:tcPr>
          <w:p>
            <w:pPr>
              <w:ind w:left="580"/>
              <w:spacing w:after="0" w:line="155" w:lineRule="exact"/>
              <w:rPr>
                <w:sz w:val="20"/>
                <w:szCs w:val="20"/>
                <w:color w:val="auto"/>
              </w:rPr>
            </w:pPr>
            <w:r>
              <w:rPr>
                <w:rFonts w:ascii="Arial" w:cs="Arial" w:eastAsia="Arial" w:hAnsi="Arial"/>
                <w:sz w:val="14"/>
                <w:szCs w:val="14"/>
                <w:color w:val="auto"/>
              </w:rPr>
              <w:t>5,315,286</w:t>
            </w:r>
          </w:p>
        </w:tc>
        <w:tc>
          <w:tcPr>
            <w:tcW w:w="1340" w:type="dxa"/>
            <w:vAlign w:val="bottom"/>
            <w:tcBorders>
              <w:bottom w:val="single" w:sz="8" w:color="2D53A6"/>
              <w:right w:val="single" w:sz="8" w:color="2D53A6"/>
            </w:tcBorders>
          </w:tcPr>
          <w:p>
            <w:pPr>
              <w:jc w:val="right"/>
              <w:ind w:right="49"/>
              <w:spacing w:after="0" w:line="155" w:lineRule="exact"/>
              <w:rPr>
                <w:sz w:val="20"/>
                <w:szCs w:val="20"/>
                <w:color w:val="auto"/>
              </w:rPr>
            </w:pPr>
            <w:r>
              <w:rPr>
                <w:rFonts w:ascii="Arial" w:cs="Arial" w:eastAsia="Arial" w:hAnsi="Arial"/>
                <w:sz w:val="14"/>
                <w:szCs w:val="14"/>
                <w:color w:val="auto"/>
              </w:rPr>
              <w:t>5,406,262</w:t>
            </w:r>
          </w:p>
        </w:tc>
        <w:tc>
          <w:tcPr>
            <w:tcW w:w="1320" w:type="dxa"/>
            <w:vAlign w:val="bottom"/>
            <w:tcBorders>
              <w:bottom w:val="single" w:sz="8" w:color="2D53A6"/>
              <w:right w:val="single" w:sz="8" w:color="2D53A6"/>
            </w:tcBorders>
          </w:tcPr>
          <w:p>
            <w:pPr>
              <w:ind w:left="580"/>
              <w:spacing w:after="0" w:line="155" w:lineRule="exact"/>
              <w:rPr>
                <w:sz w:val="20"/>
                <w:szCs w:val="20"/>
                <w:color w:val="auto"/>
              </w:rPr>
            </w:pPr>
            <w:r>
              <w:rPr>
                <w:rFonts w:ascii="Arial" w:cs="Arial" w:eastAsia="Arial" w:hAnsi="Arial"/>
                <w:sz w:val="14"/>
                <w:szCs w:val="14"/>
                <w:color w:val="auto"/>
              </w:rPr>
              <w:t>1,546,037</w:t>
            </w:r>
          </w:p>
        </w:tc>
        <w:tc>
          <w:tcPr>
            <w:tcW w:w="1340" w:type="dxa"/>
            <w:vAlign w:val="bottom"/>
            <w:tcBorders>
              <w:bottom w:val="single" w:sz="8" w:color="2D53A6"/>
              <w:right w:val="single" w:sz="8" w:color="2D53A6"/>
            </w:tcBorders>
          </w:tcPr>
          <w:p>
            <w:pPr>
              <w:jc w:val="right"/>
              <w:ind w:right="29"/>
              <w:spacing w:after="0" w:line="155" w:lineRule="exact"/>
              <w:rPr>
                <w:sz w:val="20"/>
                <w:szCs w:val="20"/>
                <w:color w:val="auto"/>
              </w:rPr>
            </w:pPr>
            <w:r>
              <w:rPr>
                <w:rFonts w:ascii="Arial" w:cs="Arial" w:eastAsia="Arial" w:hAnsi="Arial"/>
                <w:sz w:val="14"/>
                <w:szCs w:val="14"/>
                <w:color w:val="auto"/>
              </w:rPr>
              <w:t>1,547,883</w:t>
            </w:r>
          </w:p>
        </w:tc>
        <w:tc>
          <w:tcPr>
            <w:tcW w:w="1340" w:type="dxa"/>
            <w:vAlign w:val="bottom"/>
            <w:tcBorders>
              <w:bottom w:val="single" w:sz="8" w:color="2D53A6"/>
              <w:right w:val="single" w:sz="8" w:color="2D53A6"/>
            </w:tcBorders>
          </w:tcPr>
          <w:p>
            <w:pPr>
              <w:jc w:val="right"/>
              <w:ind w:right="49"/>
              <w:spacing w:after="0" w:line="155" w:lineRule="exact"/>
              <w:rPr>
                <w:sz w:val="20"/>
                <w:szCs w:val="20"/>
                <w:color w:val="auto"/>
              </w:rPr>
            </w:pPr>
            <w:r>
              <w:rPr>
                <w:rFonts w:ascii="Arial" w:cs="Arial" w:eastAsia="Arial" w:hAnsi="Arial"/>
                <w:sz w:val="14"/>
                <w:szCs w:val="14"/>
                <w:color w:val="auto"/>
              </w:rPr>
              <w:t>144.12</w:t>
            </w:r>
          </w:p>
        </w:tc>
        <w:tc>
          <w:tcPr>
            <w:tcW w:w="1340" w:type="dxa"/>
            <w:vAlign w:val="bottom"/>
            <w:tcBorders>
              <w:bottom w:val="single" w:sz="8" w:color="2D53A6"/>
              <w:right w:val="single" w:sz="8" w:color="2D53A6"/>
            </w:tcBorders>
          </w:tcPr>
          <w:p>
            <w:pPr>
              <w:jc w:val="right"/>
              <w:ind w:right="49"/>
              <w:spacing w:after="0" w:line="155" w:lineRule="exact"/>
              <w:rPr>
                <w:sz w:val="20"/>
                <w:szCs w:val="20"/>
                <w:color w:val="auto"/>
              </w:rPr>
            </w:pPr>
            <w:r>
              <w:rPr>
                <w:rFonts w:ascii="Arial" w:cs="Arial" w:eastAsia="Arial" w:hAnsi="Arial"/>
                <w:sz w:val="14"/>
                <w:szCs w:val="14"/>
                <w:color w:val="auto"/>
              </w:rPr>
              <w:t>137.78</w:t>
            </w:r>
          </w:p>
        </w:tc>
        <w:tc>
          <w:tcPr>
            <w:tcW w:w="1340" w:type="dxa"/>
            <w:vAlign w:val="bottom"/>
            <w:tcBorders>
              <w:bottom w:val="single" w:sz="8" w:color="2D53A6"/>
              <w:right w:val="single" w:sz="8" w:color="2D53A6"/>
            </w:tcBorders>
          </w:tcPr>
          <w:p>
            <w:pPr>
              <w:jc w:val="right"/>
              <w:ind w:right="49"/>
              <w:spacing w:after="0" w:line="155" w:lineRule="exact"/>
              <w:rPr>
                <w:sz w:val="20"/>
                <w:szCs w:val="20"/>
                <w:color w:val="auto"/>
              </w:rPr>
            </w:pPr>
            <w:r>
              <w:rPr>
                <w:rFonts w:ascii="Arial" w:cs="Arial" w:eastAsia="Arial" w:hAnsi="Arial"/>
                <w:sz w:val="14"/>
                <w:szCs w:val="14"/>
                <w:color w:val="auto"/>
              </w:rPr>
              <w:t>96.8</w:t>
            </w:r>
          </w:p>
        </w:tc>
        <w:tc>
          <w:tcPr>
            <w:tcW w:w="1420" w:type="dxa"/>
            <w:vAlign w:val="bottom"/>
            <w:tcBorders>
              <w:bottom w:val="single" w:sz="8" w:color="2D53A6"/>
              <w:right w:val="single" w:sz="8" w:color="2D53A6"/>
            </w:tcBorders>
          </w:tcPr>
          <w:p>
            <w:pPr>
              <w:jc w:val="right"/>
              <w:ind w:right="9"/>
              <w:spacing w:after="0" w:line="155" w:lineRule="exact"/>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56"/>
        </w:trPr>
        <w:tc>
          <w:tcPr>
            <w:tcW w:w="460" w:type="dxa"/>
            <w:vAlign w:val="bottom"/>
            <w:tcBorders>
              <w:left w:val="single" w:sz="8" w:color="2D53A6"/>
              <w:bottom w:val="single" w:sz="8" w:color="2D53A6"/>
              <w:right w:val="single" w:sz="8" w:color="2D53A6"/>
            </w:tcBorders>
            <w:shd w:val="clear" w:color="auto" w:fill="E6E6E6"/>
          </w:tcPr>
          <w:p>
            <w:pPr>
              <w:jc w:val="center"/>
              <w:spacing w:after="0" w:line="155" w:lineRule="exact"/>
              <w:rPr>
                <w:sz w:val="20"/>
                <w:szCs w:val="20"/>
                <w:color w:val="auto"/>
              </w:rPr>
            </w:pPr>
            <w:r>
              <w:rPr>
                <w:rFonts w:ascii="Arial" w:cs="Arial" w:eastAsia="Arial" w:hAnsi="Arial"/>
                <w:sz w:val="14"/>
                <w:szCs w:val="14"/>
                <w:color w:val="auto"/>
              </w:rPr>
              <w:t>2021</w:t>
            </w:r>
          </w:p>
        </w:tc>
        <w:tc>
          <w:tcPr>
            <w:tcW w:w="1340" w:type="dxa"/>
            <w:vAlign w:val="bottom"/>
            <w:tcBorders>
              <w:bottom w:val="single" w:sz="8" w:color="2D53A6"/>
              <w:right w:val="single" w:sz="8" w:color="2D53A6"/>
            </w:tcBorders>
            <w:shd w:val="clear" w:color="auto" w:fill="E6E6E6"/>
          </w:tcPr>
          <w:p>
            <w:pPr>
              <w:ind w:left="580"/>
              <w:spacing w:after="0" w:line="155" w:lineRule="exact"/>
              <w:rPr>
                <w:sz w:val="20"/>
                <w:szCs w:val="20"/>
                <w:color w:val="auto"/>
              </w:rPr>
            </w:pPr>
            <w:r>
              <w:rPr>
                <w:rFonts w:ascii="Arial" w:cs="Arial" w:eastAsia="Arial" w:hAnsi="Arial"/>
                <w:sz w:val="14"/>
                <w:szCs w:val="14"/>
                <w:color w:val="auto"/>
              </w:rPr>
              <w:t>4,582,416</w:t>
            </w:r>
          </w:p>
        </w:tc>
        <w:tc>
          <w:tcPr>
            <w:tcW w:w="1340" w:type="dxa"/>
            <w:vAlign w:val="bottom"/>
            <w:tcBorders>
              <w:bottom w:val="single" w:sz="8" w:color="2D53A6"/>
              <w:right w:val="single" w:sz="8" w:color="2D53A6"/>
            </w:tcBorders>
            <w:shd w:val="clear" w:color="auto" w:fill="E6E6E6"/>
          </w:tcPr>
          <w:p>
            <w:pPr>
              <w:jc w:val="right"/>
              <w:ind w:right="49"/>
              <w:spacing w:after="0" w:line="155" w:lineRule="exact"/>
              <w:rPr>
                <w:sz w:val="20"/>
                <w:szCs w:val="20"/>
                <w:color w:val="auto"/>
              </w:rPr>
            </w:pPr>
            <w:r>
              <w:rPr>
                <w:rFonts w:ascii="Arial" w:cs="Arial" w:eastAsia="Arial" w:hAnsi="Arial"/>
                <w:sz w:val="14"/>
                <w:szCs w:val="14"/>
                <w:color w:val="auto"/>
              </w:rPr>
              <w:t>959,803</w:t>
            </w:r>
          </w:p>
        </w:tc>
        <w:tc>
          <w:tcPr>
            <w:tcW w:w="1320" w:type="dxa"/>
            <w:vAlign w:val="bottom"/>
            <w:tcBorders>
              <w:bottom w:val="single" w:sz="8" w:color="2D53A6"/>
              <w:right w:val="single" w:sz="8" w:color="2D53A6"/>
            </w:tcBorders>
            <w:shd w:val="clear" w:color="auto" w:fill="E6E6E6"/>
          </w:tcPr>
          <w:p>
            <w:pPr>
              <w:ind w:left="580"/>
              <w:spacing w:after="0" w:line="155" w:lineRule="exact"/>
              <w:rPr>
                <w:sz w:val="20"/>
                <w:szCs w:val="20"/>
                <w:color w:val="auto"/>
              </w:rPr>
            </w:pPr>
            <w:r>
              <w:rPr>
                <w:rFonts w:ascii="Arial" w:cs="Arial" w:eastAsia="Arial" w:hAnsi="Arial"/>
                <w:sz w:val="14"/>
                <w:szCs w:val="14"/>
                <w:color w:val="auto"/>
              </w:rPr>
              <w:t>1,360,173</w:t>
            </w:r>
          </w:p>
        </w:tc>
        <w:tc>
          <w:tcPr>
            <w:tcW w:w="1340" w:type="dxa"/>
            <w:vAlign w:val="bottom"/>
            <w:tcBorders>
              <w:bottom w:val="single" w:sz="8" w:color="2D53A6"/>
              <w:right w:val="single" w:sz="8" w:color="2D53A6"/>
            </w:tcBorders>
            <w:shd w:val="clear" w:color="auto" w:fill="E6E6E6"/>
          </w:tcPr>
          <w:p>
            <w:pPr>
              <w:jc w:val="right"/>
              <w:ind w:right="29"/>
              <w:spacing w:after="0" w:line="155" w:lineRule="exact"/>
              <w:rPr>
                <w:sz w:val="20"/>
                <w:szCs w:val="20"/>
                <w:color w:val="auto"/>
              </w:rPr>
            </w:pPr>
            <w:r>
              <w:rPr>
                <w:rFonts w:ascii="Arial" w:cs="Arial" w:eastAsia="Arial" w:hAnsi="Arial"/>
                <w:sz w:val="14"/>
                <w:szCs w:val="14"/>
                <w:color w:val="auto"/>
              </w:rPr>
              <w:t>597,988</w:t>
            </w:r>
          </w:p>
        </w:tc>
        <w:tc>
          <w:tcPr>
            <w:tcW w:w="1340" w:type="dxa"/>
            <w:vAlign w:val="bottom"/>
            <w:tcBorders>
              <w:bottom w:val="single" w:sz="8" w:color="2D53A6"/>
              <w:right w:val="single" w:sz="8" w:color="2D53A6"/>
            </w:tcBorders>
            <w:shd w:val="clear" w:color="auto" w:fill="E6E6E6"/>
          </w:tcPr>
          <w:p>
            <w:pPr>
              <w:jc w:val="right"/>
              <w:ind w:right="49"/>
              <w:spacing w:after="0" w:line="155" w:lineRule="exact"/>
              <w:rPr>
                <w:sz w:val="20"/>
                <w:szCs w:val="20"/>
                <w:color w:val="auto"/>
              </w:rPr>
            </w:pPr>
            <w:r>
              <w:rPr>
                <w:rFonts w:ascii="Arial" w:cs="Arial" w:eastAsia="Arial" w:hAnsi="Arial"/>
                <w:sz w:val="14"/>
                <w:szCs w:val="14"/>
                <w:color w:val="auto"/>
              </w:rPr>
              <w:t>170.92</w:t>
            </w:r>
          </w:p>
        </w:tc>
        <w:tc>
          <w:tcPr>
            <w:tcW w:w="1340" w:type="dxa"/>
            <w:vAlign w:val="bottom"/>
            <w:tcBorders>
              <w:bottom w:val="single" w:sz="8" w:color="2D53A6"/>
              <w:right w:val="single" w:sz="8" w:color="2D53A6"/>
            </w:tcBorders>
            <w:shd w:val="clear" w:color="auto" w:fill="E6E6E6"/>
          </w:tcPr>
          <w:p>
            <w:pPr>
              <w:jc w:val="right"/>
              <w:ind w:right="49"/>
              <w:spacing w:after="0" w:line="155" w:lineRule="exact"/>
              <w:rPr>
                <w:sz w:val="20"/>
                <w:szCs w:val="20"/>
                <w:color w:val="auto"/>
              </w:rPr>
            </w:pPr>
            <w:r>
              <w:rPr>
                <w:rFonts w:ascii="Arial" w:cs="Arial" w:eastAsia="Arial" w:hAnsi="Arial"/>
                <w:sz w:val="14"/>
                <w:szCs w:val="14"/>
                <w:color w:val="auto"/>
              </w:rPr>
              <w:t>183.27</w:t>
            </w:r>
          </w:p>
        </w:tc>
        <w:tc>
          <w:tcPr>
            <w:tcW w:w="1340" w:type="dxa"/>
            <w:vAlign w:val="bottom"/>
            <w:tcBorders>
              <w:bottom w:val="single" w:sz="8" w:color="2D53A6"/>
              <w:right w:val="single" w:sz="8" w:color="2D53A6"/>
            </w:tcBorders>
            <w:shd w:val="clear" w:color="auto" w:fill="E6E6E6"/>
          </w:tcPr>
          <w:p>
            <w:pPr>
              <w:jc w:val="right"/>
              <w:ind w:right="49"/>
              <w:spacing w:after="0" w:line="155" w:lineRule="exact"/>
              <w:rPr>
                <w:sz w:val="20"/>
                <w:szCs w:val="20"/>
                <w:color w:val="auto"/>
              </w:rPr>
            </w:pPr>
            <w:r>
              <w:rPr>
                <w:rFonts w:ascii="Arial" w:cs="Arial" w:eastAsia="Arial" w:hAnsi="Arial"/>
                <w:sz w:val="14"/>
                <w:szCs w:val="14"/>
                <w:color w:val="auto"/>
              </w:rPr>
              <w:t>167.3</w:t>
            </w:r>
          </w:p>
        </w:tc>
        <w:tc>
          <w:tcPr>
            <w:tcW w:w="1420" w:type="dxa"/>
            <w:vAlign w:val="bottom"/>
            <w:tcBorders>
              <w:bottom w:val="single" w:sz="8" w:color="2D53A6"/>
              <w:right w:val="single" w:sz="8" w:color="2D53A6"/>
            </w:tcBorders>
            <w:shd w:val="clear" w:color="auto" w:fill="E6E6E6"/>
          </w:tcPr>
          <w:p>
            <w:pPr>
              <w:jc w:val="right"/>
              <w:ind w:right="9"/>
              <w:spacing w:after="0" w:line="155" w:lineRule="exact"/>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55"/>
        </w:trPr>
        <w:tc>
          <w:tcPr>
            <w:tcW w:w="460" w:type="dxa"/>
            <w:vAlign w:val="bottom"/>
            <w:tcBorders>
              <w:left w:val="single" w:sz="8" w:color="2D53A6"/>
              <w:bottom w:val="single" w:sz="8" w:color="2D53A6"/>
              <w:right w:val="single" w:sz="8" w:color="2D53A6"/>
            </w:tcBorders>
          </w:tcPr>
          <w:p>
            <w:pPr>
              <w:jc w:val="center"/>
              <w:spacing w:after="0" w:line="155" w:lineRule="exact"/>
              <w:rPr>
                <w:sz w:val="20"/>
                <w:szCs w:val="20"/>
                <w:color w:val="auto"/>
              </w:rPr>
            </w:pPr>
            <w:r>
              <w:rPr>
                <w:rFonts w:ascii="Arial" w:cs="Arial" w:eastAsia="Arial" w:hAnsi="Arial"/>
                <w:sz w:val="14"/>
                <w:szCs w:val="14"/>
                <w:color w:val="auto"/>
              </w:rPr>
              <w:t>2020</w:t>
            </w:r>
          </w:p>
        </w:tc>
        <w:tc>
          <w:tcPr>
            <w:tcW w:w="1340" w:type="dxa"/>
            <w:vAlign w:val="bottom"/>
            <w:tcBorders>
              <w:bottom w:val="single" w:sz="8" w:color="2D53A6"/>
              <w:right w:val="single" w:sz="8" w:color="2D53A6"/>
            </w:tcBorders>
          </w:tcPr>
          <w:p>
            <w:pPr>
              <w:ind w:left="580"/>
              <w:spacing w:after="0" w:line="155" w:lineRule="exact"/>
              <w:rPr>
                <w:sz w:val="20"/>
                <w:szCs w:val="20"/>
                <w:color w:val="auto"/>
              </w:rPr>
            </w:pPr>
            <w:r>
              <w:rPr>
                <w:rFonts w:ascii="Arial" w:cs="Arial" w:eastAsia="Arial" w:hAnsi="Arial"/>
                <w:sz w:val="14"/>
                <w:szCs w:val="14"/>
                <w:color w:val="auto"/>
              </w:rPr>
              <w:t>3,315,895</w:t>
            </w:r>
          </w:p>
        </w:tc>
        <w:tc>
          <w:tcPr>
            <w:tcW w:w="1340" w:type="dxa"/>
            <w:vAlign w:val="bottom"/>
            <w:tcBorders>
              <w:bottom w:val="single" w:sz="8" w:color="2D53A6"/>
              <w:right w:val="single" w:sz="8" w:color="2D53A6"/>
            </w:tcBorders>
          </w:tcPr>
          <w:p>
            <w:pPr>
              <w:jc w:val="right"/>
              <w:ind w:right="49"/>
              <w:spacing w:after="0" w:line="155" w:lineRule="exact"/>
              <w:rPr>
                <w:sz w:val="20"/>
                <w:szCs w:val="20"/>
                <w:color w:val="auto"/>
              </w:rPr>
            </w:pPr>
            <w:r>
              <w:rPr>
                <w:rFonts w:ascii="Arial" w:cs="Arial" w:eastAsia="Arial" w:hAnsi="Arial"/>
                <w:sz w:val="14"/>
                <w:szCs w:val="14"/>
                <w:color w:val="auto"/>
              </w:rPr>
              <w:t>12,097,614</w:t>
            </w:r>
          </w:p>
        </w:tc>
        <w:tc>
          <w:tcPr>
            <w:tcW w:w="1320" w:type="dxa"/>
            <w:vAlign w:val="bottom"/>
            <w:tcBorders>
              <w:bottom w:val="single" w:sz="8" w:color="2D53A6"/>
              <w:right w:val="single" w:sz="8" w:color="2D53A6"/>
            </w:tcBorders>
          </w:tcPr>
          <w:p>
            <w:pPr>
              <w:ind w:left="580"/>
              <w:spacing w:after="0" w:line="155" w:lineRule="exact"/>
              <w:rPr>
                <w:sz w:val="20"/>
                <w:szCs w:val="20"/>
                <w:color w:val="auto"/>
              </w:rPr>
            </w:pPr>
            <w:r>
              <w:rPr>
                <w:rFonts w:ascii="Arial" w:cs="Arial" w:eastAsia="Arial" w:hAnsi="Arial"/>
                <w:sz w:val="14"/>
                <w:szCs w:val="14"/>
                <w:color w:val="auto"/>
              </w:rPr>
              <w:t>1,093,312</w:t>
            </w:r>
          </w:p>
        </w:tc>
        <w:tc>
          <w:tcPr>
            <w:tcW w:w="1340" w:type="dxa"/>
            <w:vAlign w:val="bottom"/>
            <w:tcBorders>
              <w:bottom w:val="single" w:sz="8" w:color="2D53A6"/>
              <w:right w:val="single" w:sz="8" w:color="2D53A6"/>
            </w:tcBorders>
          </w:tcPr>
          <w:p>
            <w:pPr>
              <w:jc w:val="right"/>
              <w:ind w:right="29"/>
              <w:spacing w:after="0" w:line="155" w:lineRule="exact"/>
              <w:rPr>
                <w:sz w:val="20"/>
                <w:szCs w:val="20"/>
                <w:color w:val="auto"/>
              </w:rPr>
            </w:pPr>
            <w:r>
              <w:rPr>
                <w:rFonts w:ascii="Arial" w:cs="Arial" w:eastAsia="Arial" w:hAnsi="Arial"/>
                <w:sz w:val="14"/>
                <w:szCs w:val="14"/>
                <w:color w:val="auto"/>
              </w:rPr>
              <w:t>3,117,583</w:t>
            </w:r>
          </w:p>
        </w:tc>
        <w:tc>
          <w:tcPr>
            <w:tcW w:w="1340" w:type="dxa"/>
            <w:vAlign w:val="bottom"/>
            <w:tcBorders>
              <w:bottom w:val="single" w:sz="8" w:color="2D53A6"/>
              <w:right w:val="single" w:sz="8" w:color="2D53A6"/>
            </w:tcBorders>
          </w:tcPr>
          <w:p>
            <w:pPr>
              <w:jc w:val="right"/>
              <w:ind w:right="49"/>
              <w:spacing w:after="0" w:line="155" w:lineRule="exact"/>
              <w:rPr>
                <w:sz w:val="20"/>
                <w:szCs w:val="20"/>
                <w:color w:val="auto"/>
              </w:rPr>
            </w:pPr>
            <w:r>
              <w:rPr>
                <w:rFonts w:ascii="Arial" w:cs="Arial" w:eastAsia="Arial" w:hAnsi="Arial"/>
                <w:sz w:val="14"/>
                <w:szCs w:val="14"/>
                <w:color w:val="auto"/>
              </w:rPr>
              <w:t>174.25</w:t>
            </w:r>
          </w:p>
        </w:tc>
        <w:tc>
          <w:tcPr>
            <w:tcW w:w="1340" w:type="dxa"/>
            <w:vAlign w:val="bottom"/>
            <w:tcBorders>
              <w:bottom w:val="single" w:sz="8" w:color="2D53A6"/>
              <w:right w:val="single" w:sz="8" w:color="2D53A6"/>
            </w:tcBorders>
          </w:tcPr>
          <w:p>
            <w:pPr>
              <w:jc w:val="right"/>
              <w:ind w:right="49"/>
              <w:spacing w:after="0" w:line="155" w:lineRule="exact"/>
              <w:rPr>
                <w:sz w:val="20"/>
                <w:szCs w:val="20"/>
                <w:color w:val="auto"/>
              </w:rPr>
            </w:pPr>
            <w:r>
              <w:rPr>
                <w:rFonts w:ascii="Arial" w:cs="Arial" w:eastAsia="Arial" w:hAnsi="Arial"/>
                <w:sz w:val="14"/>
                <w:szCs w:val="14"/>
                <w:color w:val="auto"/>
              </w:rPr>
              <w:t>128.00</w:t>
            </w:r>
          </w:p>
        </w:tc>
        <w:tc>
          <w:tcPr>
            <w:tcW w:w="1340" w:type="dxa"/>
            <w:vAlign w:val="bottom"/>
            <w:tcBorders>
              <w:bottom w:val="single" w:sz="8" w:color="2D53A6"/>
              <w:right w:val="single" w:sz="8" w:color="2D53A6"/>
            </w:tcBorders>
          </w:tcPr>
          <w:p>
            <w:pPr>
              <w:jc w:val="right"/>
              <w:ind w:right="9"/>
              <w:spacing w:after="0" w:line="155" w:lineRule="exact"/>
              <w:rPr>
                <w:sz w:val="20"/>
                <w:szCs w:val="20"/>
                <w:color w:val="auto"/>
              </w:rPr>
            </w:pPr>
            <w:r>
              <w:rPr>
                <w:rFonts w:ascii="Arial" w:cs="Arial" w:eastAsia="Arial" w:hAnsi="Arial"/>
                <w:sz w:val="14"/>
                <w:szCs w:val="14"/>
                <w:color w:val="auto"/>
              </w:rPr>
              <w:t>(13.8)</w:t>
            </w:r>
          </w:p>
        </w:tc>
        <w:tc>
          <w:tcPr>
            <w:tcW w:w="1420" w:type="dxa"/>
            <w:vAlign w:val="bottom"/>
            <w:tcBorders>
              <w:bottom w:val="single" w:sz="8" w:color="2D53A6"/>
              <w:right w:val="single" w:sz="8" w:color="2D53A6"/>
            </w:tcBorders>
          </w:tcPr>
          <w:p>
            <w:pPr>
              <w:jc w:val="right"/>
              <w:ind w:right="9"/>
              <w:spacing w:after="0" w:line="155"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right="140" w:hanging="332"/>
        <w:spacing w:after="0" w:line="25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dollar amounts reported in column (b) are the amounts of total compensation reported for Dr. Müller, our Chief Executive Officer (“CEO”) for each corresponding year in the “Total” column of the Summary Compensation Table in each applicable year.</w:t>
      </w:r>
    </w:p>
    <w:p>
      <w:pPr>
        <w:spacing w:after="0" w:line="1" w:lineRule="exact"/>
        <w:rPr>
          <w:rFonts w:ascii="Arial" w:cs="Arial" w:eastAsia="Arial" w:hAnsi="Arial"/>
          <w:sz w:val="14"/>
          <w:szCs w:val="14"/>
          <w:color w:val="auto"/>
        </w:rPr>
      </w:pPr>
    </w:p>
    <w:p>
      <w:pPr>
        <w:jc w:val="both"/>
        <w:ind w:left="340" w:right="40" w:hanging="332"/>
        <w:spacing w:after="0" w:line="24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dollar amounts reported in column (c) are the amount of “compensation actually paid” to Dr. Müller as defined by Item 402(v) of Regulation S-K. The dollar amounts do not reflect the actual amount of compensation earned by or paid to Dr. Müller during the applicable year. The adjustments made to Dr. Müller’s total compensation for each year to determine the CAP are detailed in the CEO Summary Compensation Table Total to CAP Reconciliation table below.</w:t>
      </w:r>
    </w:p>
    <w:p>
      <w:pPr>
        <w:spacing w:after="0" w:line="1" w:lineRule="exact"/>
        <w:rPr>
          <w:rFonts w:ascii="Arial" w:cs="Arial" w:eastAsia="Arial" w:hAnsi="Arial"/>
          <w:sz w:val="14"/>
          <w:szCs w:val="14"/>
          <w:color w:val="auto"/>
        </w:rPr>
      </w:pPr>
    </w:p>
    <w:p>
      <w:pPr>
        <w:ind w:left="340" w:right="20" w:hanging="332"/>
        <w:spacing w:after="0" w:line="242"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dollar amounts reported in column (d) represent the average of the amounts reported for the Company’s NEOs as a group (excluding Dr. Müller, our CEO) in the “Total” column of the Summary Compensation Table in each applicable year. The NEOs included for purposes of calculating the average amounts and “compensation actually paid” in 2024, 2023, 2022 and 2021 are as follows: Mr. Jeffrey Jones, Mr. Christopher Bohrson, Mr. Thomas Kampfer and Mr. Ian Lawee. The NEOs included for purpose of calculating the average amounts and “compensation actually paid” in 2020 are as follows: Mr. Jeffrey Jones, Mr. Christopher Bohrson, Mr. Thomas Kampfer and Mr. Pascal Ronde.</w:t>
      </w:r>
    </w:p>
    <w:p>
      <w:pPr>
        <w:spacing w:after="0" w:line="160" w:lineRule="exact"/>
        <w:rPr>
          <w:rFonts w:ascii="Arial" w:cs="Arial" w:eastAsia="Arial" w:hAnsi="Arial"/>
          <w:sz w:val="14"/>
          <w:szCs w:val="14"/>
          <w:color w:val="auto"/>
        </w:rPr>
      </w:pPr>
    </w:p>
    <w:p>
      <w:pPr>
        <w:jc w:val="both"/>
        <w:ind w:left="340" w:right="180" w:hanging="332"/>
        <w:spacing w:after="0" w:line="24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dollar amounts reported in column (e) represent the average amount of “compensation actually paid” to the NEOs as a group (excluding Dr. Müller), as computed in accordance with Item 402(v) of Regulation S-K. The dollar amounts do not reflect the actual average amount of compensation earned by or paid to the NEOs as a group (excluding Dr. Müller) during the applicable year. The adjustments made to the NEO’s total compensation for each year to determine the CAP are detailed in the Average Other NEO Summary Compensation Table Total to CAP Reconciliation table below.</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Cumulative TSR is calculated assuming a $100 investment in Cohu’s common stock, on December 28, 2019.</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the weighted peer group TSR, weighted according to the respective companies’ stock market capitalization at the beginning of each period for which a return is indicated. The peer group used for this purpose is the custom Peer Group Index as reported in the Comparative Stock Performance Graph in Cohu’s 2024 and 2023 Annual Report on Form 10-K and is made up of Advanced Energy Industries, Inc., Alpha &amp; Omega Semiconductor Limited, Axcelis Technologies, Inc., Badger Meter, Inc., Cirrus Logic, Inc., FormFactor, Inc., Harmonic Inc., Ichor Holdings Ltd., Kulicke and Soffa Industries, Inc., MACOM Technology Solutions Holdings, Inc., MaxLinear, Inc., Novanta, Inc., Onto Innovation, OSI Systems, Inc., Penguin Solutions (formerly SMART Global Holdings), Photronics, Inc., Ultra Clean Holdings, Inc. and Veeco Instruments, Inc. The only change from the custom peer group used in 2022 was the removal of National Instruments Corporation, due to it being acquired by Emerson Electric Co, and therefore the data reported in the 2023 CAP table has been recalculated removing National Instruments Corporation’s shareholder return values. As reported in the 2022 CAP table, the Peer Group Total Shareholder Return rate for 2020, 2021 and 2022 when the Peer Group included National Instruments Corporation was 130.92, 171.53 and 124.23 respectively.</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dollar amounts reported represent the amount of net income reflected in Cohu’s audited financial statements for the applicable year.</w:t>
      </w:r>
    </w:p>
    <w:p>
      <w:pPr>
        <w:spacing w:after="0" w:line="1" w:lineRule="exact"/>
        <w:rPr>
          <w:rFonts w:ascii="Arial" w:cs="Arial" w:eastAsia="Arial" w:hAnsi="Arial"/>
          <w:sz w:val="14"/>
          <w:szCs w:val="14"/>
          <w:color w:val="auto"/>
        </w:rPr>
      </w:pPr>
    </w:p>
    <w:p>
      <w:pPr>
        <w:ind w:left="340" w:right="20" w:hanging="332"/>
        <w:spacing w:after="0" w:line="246"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While we believe that the Relative Total Stockholder Return (“RTSR”) Percentile used in Cohu’s annual Long-Term Incentive (“LTI”) plan as described in the CD&amp;A is the most important financial measure used to link compensation actually paid to our NEOs, this RTSR is calculated over a three-year period and therefore cannot be used in this table. As Cohu uses other financial and non-financial performance measures for the purpose of evaluating performance for compensation programs, Cohu determined that the non-GAAP pre-tax income as a percentage of sales performance used in the annual Short-Term Incentive (“STI”) plan as described in the CD&amp;A represents the most important performance measure (that is not otherwise required to be disclosed in the table) used to link compensation actually paid to our NEOs, for the most recently completed fiscal year, to company performance.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0" w:lineRule="exact"/>
        <w:rPr>
          <w:sz w:val="20"/>
          <w:szCs w:val="20"/>
          <w:color w:val="auto"/>
        </w:rPr>
      </w:pPr>
    </w:p>
    <w:p>
      <w:pPr>
        <w:ind w:right="1160"/>
        <w:spacing w:after="0" w:line="271" w:lineRule="auto"/>
        <w:rPr>
          <w:sz w:val="20"/>
          <w:szCs w:val="20"/>
          <w:color w:val="auto"/>
        </w:rPr>
      </w:pPr>
      <w:r>
        <w:rPr>
          <w:rFonts w:ascii="Arial" w:cs="Arial" w:eastAsia="Arial" w:hAnsi="Arial"/>
          <w:sz w:val="18"/>
          <w:szCs w:val="18"/>
          <w:color w:val="auto"/>
        </w:rPr>
        <w:t>To calculate the CAP, the following amounts were deducted from and added to the Summary Compensation Table (“SCT”) total 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SCT Total to CAP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127635</wp:posOffset>
            </wp:positionV>
            <wp:extent cx="33655" cy="4451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45135"/>
                    </a:xfrm>
                    <a:prstGeom prst="rect">
                      <a:avLst/>
                    </a:prstGeom>
                    <a:noFill/>
                  </pic:spPr>
                </pic:pic>
              </a:graphicData>
            </a:graphic>
          </wp:anchor>
        </w:drawing>
        <w:drawing>
          <wp:anchor simplePos="0" relativeHeight="251657728" behindDoc="1" locked="0" layoutInCell="0" allowOverlap="1">
            <wp:simplePos x="0" y="0"/>
            <wp:positionH relativeFrom="column">
              <wp:posOffset>4852670</wp:posOffset>
            </wp:positionH>
            <wp:positionV relativeFrom="paragraph">
              <wp:posOffset>127635</wp:posOffset>
            </wp:positionV>
            <wp:extent cx="33655" cy="4451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45135"/>
                    </a:xfrm>
                    <a:prstGeom prst="rect">
                      <a:avLst/>
                    </a:prstGeom>
                    <a:noFill/>
                  </pic:spPr>
                </pic:pic>
              </a:graphicData>
            </a:graphic>
          </wp:anchor>
        </w:drawing>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480" w:type="dxa"/>
            <w:vAlign w:val="bottom"/>
            <w:tcBorders>
              <w:top w:val="single" w:sz="8" w:color="0033A0"/>
              <w:left w:val="single" w:sz="8" w:color="0033A0"/>
              <w:right w:val="single" w:sz="8" w:color="0033A0"/>
            </w:tcBorders>
            <w:shd w:val="clear" w:color="auto" w:fill="2D53A6"/>
          </w:tcPr>
          <w:p>
            <w:pPr>
              <w:spacing w:after="0"/>
              <w:rPr>
                <w:sz w:val="14"/>
                <w:szCs w:val="14"/>
                <w:color w:val="auto"/>
              </w:rPr>
            </w:pPr>
          </w:p>
        </w:tc>
        <w:tc>
          <w:tcPr>
            <w:tcW w:w="1820" w:type="dxa"/>
            <w:vAlign w:val="bottom"/>
            <w:tcBorders>
              <w:top w:val="single" w:sz="8" w:color="0033A0"/>
              <w:right w:val="single" w:sz="8" w:color="0033A0"/>
            </w:tcBorders>
            <w:shd w:val="clear" w:color="auto" w:fill="2D53A6"/>
          </w:tcPr>
          <w:p>
            <w:pPr>
              <w:spacing w:after="0"/>
              <w:rPr>
                <w:sz w:val="14"/>
                <w:szCs w:val="14"/>
                <w:color w:val="auto"/>
              </w:rPr>
            </w:pPr>
          </w:p>
        </w:tc>
        <w:tc>
          <w:tcPr>
            <w:tcW w:w="1820" w:type="dxa"/>
            <w:vAlign w:val="bottom"/>
            <w:tcBorders>
              <w:top w:val="single" w:sz="8" w:color="0033A0"/>
              <w:right w:val="single" w:sz="8" w:color="0033A0"/>
            </w:tcBorders>
            <w:shd w:val="clear" w:color="auto" w:fill="2D53A6"/>
          </w:tcPr>
          <w:p>
            <w:pPr>
              <w:spacing w:after="0"/>
              <w:rPr>
                <w:sz w:val="14"/>
                <w:szCs w:val="14"/>
                <w:color w:val="auto"/>
              </w:rPr>
            </w:pPr>
          </w:p>
        </w:tc>
        <w:tc>
          <w:tcPr>
            <w:tcW w:w="1770" w:type="dxa"/>
            <w:vAlign w:val="bottom"/>
            <w:tcBorders>
              <w:top w:val="single" w:sz="8" w:color="0033A0"/>
            </w:tcBorders>
            <w:shd w:val="clear" w:color="auto" w:fill="2D53A6"/>
          </w:tcPr>
          <w:p>
            <w:pPr>
              <w:spacing w:after="0"/>
              <w:rPr>
                <w:sz w:val="14"/>
                <w:szCs w:val="14"/>
                <w:color w:val="auto"/>
              </w:rPr>
            </w:pPr>
          </w:p>
        </w:tc>
        <w:tc>
          <w:tcPr>
            <w:tcW w:w="1780" w:type="dxa"/>
            <w:vAlign w:val="bottom"/>
            <w:tcBorders>
              <w:top w:val="single" w:sz="8" w:color="0033A0"/>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Reported Change in</w:t>
            </w:r>
          </w:p>
        </w:tc>
        <w:tc>
          <w:tcPr>
            <w:tcW w:w="1790" w:type="dxa"/>
            <w:vAlign w:val="bottom"/>
            <w:tcBorders>
              <w:top w:val="single" w:sz="8" w:color="0033A0"/>
              <w:right w:val="single" w:sz="8" w:color="0033A0"/>
            </w:tcBorders>
            <w:shd w:val="clear" w:color="auto" w:fill="2D53A6"/>
          </w:tcPr>
          <w:p>
            <w:pPr>
              <w:spacing w:after="0"/>
              <w:rPr>
                <w:sz w:val="14"/>
                <w:szCs w:val="14"/>
                <w:color w:val="auto"/>
              </w:rPr>
            </w:pPr>
          </w:p>
        </w:tc>
        <w:tc>
          <w:tcPr>
            <w:tcW w:w="1780" w:type="dxa"/>
            <w:vAlign w:val="bottom"/>
            <w:tcBorders>
              <w:top w:val="single" w:sz="8" w:color="0033A0"/>
              <w:right w:val="single" w:sz="8" w:color="0033A0"/>
            </w:tcBorders>
            <w:shd w:val="clear" w:color="auto" w:fill="2D53A6"/>
          </w:tcPr>
          <w:p>
            <w:pPr>
              <w:spacing w:after="0"/>
              <w:rPr>
                <w:sz w:val="14"/>
                <w:szCs w:val="14"/>
                <w:color w:val="auto"/>
              </w:rPr>
            </w:pPr>
          </w:p>
        </w:tc>
      </w:tr>
      <w:tr>
        <w:trPr>
          <w:trHeight w:val="162"/>
        </w:trPr>
        <w:tc>
          <w:tcPr>
            <w:tcW w:w="480" w:type="dxa"/>
            <w:vAlign w:val="bottom"/>
            <w:tcBorders>
              <w:left w:val="single" w:sz="8" w:color="0033A0"/>
              <w:right w:val="single" w:sz="8" w:color="0033A0"/>
            </w:tcBorders>
            <w:shd w:val="clear" w:color="auto" w:fill="2D53A6"/>
          </w:tcPr>
          <w:p>
            <w:pPr>
              <w:spacing w:after="0"/>
              <w:rPr>
                <w:sz w:val="14"/>
                <w:szCs w:val="14"/>
                <w:color w:val="auto"/>
              </w:rPr>
            </w:pPr>
          </w:p>
        </w:tc>
        <w:tc>
          <w:tcPr>
            <w:tcW w:w="1820" w:type="dxa"/>
            <w:vAlign w:val="bottom"/>
            <w:tcBorders>
              <w:right w:val="single" w:sz="8" w:color="0033A0"/>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Reported Summary</w:t>
            </w:r>
          </w:p>
        </w:tc>
        <w:tc>
          <w:tcPr>
            <w:tcW w:w="1820" w:type="dxa"/>
            <w:vAlign w:val="bottom"/>
            <w:tcBorders>
              <w:right w:val="single" w:sz="8" w:color="0033A0"/>
            </w:tcBorders>
            <w:shd w:val="clear" w:color="auto" w:fill="2D53A6"/>
          </w:tcPr>
          <w:p>
            <w:pPr>
              <w:spacing w:after="0"/>
              <w:rPr>
                <w:sz w:val="14"/>
                <w:szCs w:val="14"/>
                <w:color w:val="auto"/>
              </w:rPr>
            </w:pPr>
          </w:p>
        </w:tc>
        <w:tc>
          <w:tcPr>
            <w:tcW w:w="1770" w:type="dxa"/>
            <w:vAlign w:val="bottom"/>
            <w:shd w:val="clear" w:color="auto" w:fill="2D53A6"/>
          </w:tcPr>
          <w:p>
            <w:pPr>
              <w:spacing w:after="0"/>
              <w:rPr>
                <w:sz w:val="14"/>
                <w:szCs w:val="14"/>
                <w:color w:val="auto"/>
              </w:rPr>
            </w:pPr>
          </w:p>
        </w:tc>
        <w:tc>
          <w:tcPr>
            <w:tcW w:w="1780" w:type="dxa"/>
            <w:vAlign w:val="bottom"/>
            <w:shd w:val="clear" w:color="auto" w:fill="2D53A6"/>
          </w:tcPr>
          <w:p>
            <w:pPr>
              <w:jc w:val="center"/>
              <w:spacing w:after="0"/>
              <w:rPr>
                <w:sz w:val="20"/>
                <w:szCs w:val="20"/>
                <w:color w:val="auto"/>
              </w:rPr>
            </w:pPr>
            <w:r>
              <w:rPr>
                <w:rFonts w:ascii="Arial" w:cs="Arial" w:eastAsia="Arial" w:hAnsi="Arial"/>
                <w:sz w:val="14"/>
                <w:szCs w:val="14"/>
                <w:b w:val="1"/>
                <w:bCs w:val="1"/>
                <w:color w:val="FFFFFF"/>
              </w:rPr>
              <w:t>the Actuarial</w:t>
            </w:r>
          </w:p>
        </w:tc>
        <w:tc>
          <w:tcPr>
            <w:tcW w:w="1790" w:type="dxa"/>
            <w:vAlign w:val="bottom"/>
            <w:tcBorders>
              <w:right w:val="single" w:sz="8" w:color="0033A0"/>
            </w:tcBorders>
            <w:shd w:val="clear" w:color="auto" w:fill="2D53A6"/>
          </w:tcPr>
          <w:p>
            <w:pPr>
              <w:spacing w:after="0"/>
              <w:rPr>
                <w:sz w:val="14"/>
                <w:szCs w:val="14"/>
                <w:color w:val="auto"/>
              </w:rPr>
            </w:pPr>
          </w:p>
        </w:tc>
        <w:tc>
          <w:tcPr>
            <w:tcW w:w="1780" w:type="dxa"/>
            <w:vAlign w:val="bottom"/>
            <w:tcBorders>
              <w:right w:val="single" w:sz="8" w:color="0033A0"/>
            </w:tcBorders>
            <w:shd w:val="clear" w:color="auto" w:fill="2D53A6"/>
          </w:tcPr>
          <w:p>
            <w:pPr>
              <w:spacing w:after="0"/>
              <w:rPr>
                <w:sz w:val="14"/>
                <w:szCs w:val="14"/>
                <w:color w:val="auto"/>
              </w:rPr>
            </w:pPr>
          </w:p>
        </w:tc>
      </w:tr>
      <w:tr>
        <w:trPr>
          <w:trHeight w:val="159"/>
        </w:trPr>
        <w:tc>
          <w:tcPr>
            <w:tcW w:w="480" w:type="dxa"/>
            <w:vAlign w:val="bottom"/>
            <w:tcBorders>
              <w:left w:val="single" w:sz="8" w:color="0033A0"/>
              <w:right w:val="single" w:sz="8" w:color="0033A0"/>
            </w:tcBorders>
            <w:shd w:val="clear" w:color="auto" w:fill="2D53A6"/>
          </w:tcPr>
          <w:p>
            <w:pPr>
              <w:spacing w:after="0"/>
              <w:rPr>
                <w:sz w:val="13"/>
                <w:szCs w:val="13"/>
                <w:color w:val="auto"/>
              </w:rPr>
            </w:pPr>
          </w:p>
        </w:tc>
        <w:tc>
          <w:tcPr>
            <w:tcW w:w="1820" w:type="dxa"/>
            <w:vAlign w:val="bottom"/>
            <w:tcBorders>
              <w:right w:val="single" w:sz="8" w:color="0033A0"/>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Compensation</w:t>
            </w:r>
          </w:p>
        </w:tc>
        <w:tc>
          <w:tcPr>
            <w:tcW w:w="1820" w:type="dxa"/>
            <w:vAlign w:val="bottom"/>
            <w:tcBorders>
              <w:right w:val="single" w:sz="8" w:color="0033A0"/>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Reported Value of</w:t>
            </w:r>
          </w:p>
        </w:tc>
        <w:tc>
          <w:tcPr>
            <w:tcW w:w="1770" w:type="dxa"/>
            <w:vAlign w:val="bottom"/>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Equity Award</w:t>
            </w:r>
          </w:p>
        </w:tc>
        <w:tc>
          <w:tcPr>
            <w:tcW w:w="1780" w:type="dxa"/>
            <w:vAlign w:val="bottom"/>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Present Value of</w:t>
            </w:r>
          </w:p>
        </w:tc>
        <w:tc>
          <w:tcPr>
            <w:tcW w:w="1790" w:type="dxa"/>
            <w:vAlign w:val="bottom"/>
            <w:tcBorders>
              <w:right w:val="single" w:sz="8" w:color="0033A0"/>
            </w:tcBorders>
            <w:shd w:val="clear" w:color="auto" w:fill="2D53A6"/>
          </w:tcPr>
          <w:p>
            <w:pPr>
              <w:spacing w:after="0"/>
              <w:rPr>
                <w:sz w:val="13"/>
                <w:szCs w:val="13"/>
                <w:color w:val="auto"/>
              </w:rPr>
            </w:pPr>
          </w:p>
        </w:tc>
        <w:tc>
          <w:tcPr>
            <w:tcW w:w="1780" w:type="dxa"/>
            <w:vAlign w:val="bottom"/>
            <w:tcBorders>
              <w:right w:val="single" w:sz="8" w:color="0033A0"/>
            </w:tcBorders>
            <w:shd w:val="clear" w:color="auto" w:fill="2D53A6"/>
          </w:tcPr>
          <w:p>
            <w:pPr>
              <w:spacing w:after="0"/>
              <w:rPr>
                <w:sz w:val="13"/>
                <w:szCs w:val="13"/>
                <w:color w:val="auto"/>
              </w:rPr>
            </w:pPr>
          </w:p>
        </w:tc>
      </w:tr>
      <w:tr>
        <w:trPr>
          <w:trHeight w:val="174"/>
        </w:trPr>
        <w:tc>
          <w:tcPr>
            <w:tcW w:w="480" w:type="dxa"/>
            <w:vAlign w:val="bottom"/>
            <w:tcBorders>
              <w:left w:val="single" w:sz="8" w:color="0033A0"/>
              <w:right w:val="single" w:sz="8" w:color="0033A0"/>
            </w:tcBorders>
            <w:shd w:val="clear" w:color="auto" w:fill="2D53A6"/>
          </w:tcPr>
          <w:p>
            <w:pPr>
              <w:ind w:left="80"/>
              <w:spacing w:after="0"/>
              <w:rPr>
                <w:sz w:val="20"/>
                <w:szCs w:val="20"/>
                <w:color w:val="auto"/>
              </w:rPr>
            </w:pPr>
            <w:r>
              <w:rPr>
                <w:rFonts w:ascii="Arial" w:cs="Arial" w:eastAsia="Arial" w:hAnsi="Arial"/>
                <w:sz w:val="14"/>
                <w:szCs w:val="14"/>
                <w:b w:val="1"/>
                <w:bCs w:val="1"/>
                <w:color w:val="FFFFFF"/>
              </w:rPr>
              <w:t>Year</w:t>
            </w:r>
          </w:p>
        </w:tc>
        <w:tc>
          <w:tcPr>
            <w:tcW w:w="1820" w:type="dxa"/>
            <w:vAlign w:val="bottom"/>
            <w:tcBorders>
              <w:right w:val="single" w:sz="8" w:color="0033A0"/>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Table Total for CEO</w:t>
            </w:r>
          </w:p>
        </w:tc>
        <w:tc>
          <w:tcPr>
            <w:tcW w:w="1820" w:type="dxa"/>
            <w:vAlign w:val="bottom"/>
            <w:tcBorders>
              <w:right w:val="single" w:sz="8" w:color="0033A0"/>
            </w:tcBorders>
            <w:shd w:val="clear" w:color="auto" w:fill="2D53A6"/>
          </w:tcPr>
          <w:p>
            <w:pPr>
              <w:jc w:val="center"/>
              <w:spacing w:after="0" w:line="175" w:lineRule="exact"/>
              <w:rPr>
                <w:sz w:val="20"/>
                <w:szCs w:val="20"/>
                <w:color w:val="auto"/>
              </w:rPr>
            </w:pPr>
            <w:r>
              <w:rPr>
                <w:rFonts w:ascii="Arial" w:cs="Arial" w:eastAsia="Arial" w:hAnsi="Arial"/>
                <w:sz w:val="13"/>
                <w:szCs w:val="13"/>
                <w:b w:val="1"/>
                <w:bCs w:val="1"/>
                <w:color w:val="FFFFFF"/>
              </w:rPr>
              <w:t xml:space="preserve">Equity Awards </w:t>
            </w:r>
            <w:r>
              <w:rPr>
                <w:rFonts w:ascii="Arial" w:cs="Arial" w:eastAsia="Arial" w:hAnsi="Arial"/>
                <w:sz w:val="20"/>
                <w:szCs w:val="20"/>
                <w:b w:val="1"/>
                <w:bCs w:val="1"/>
                <w:color w:val="FFFFFF"/>
                <w:vertAlign w:val="superscript"/>
              </w:rPr>
              <w:t>(1)</w:t>
            </w:r>
          </w:p>
        </w:tc>
        <w:tc>
          <w:tcPr>
            <w:tcW w:w="1770" w:type="dxa"/>
            <w:vAlign w:val="bottom"/>
            <w:shd w:val="clear" w:color="auto" w:fill="2D53A6"/>
          </w:tcPr>
          <w:p>
            <w:pPr>
              <w:jc w:val="center"/>
              <w:spacing w:after="0" w:line="175" w:lineRule="exact"/>
              <w:rPr>
                <w:sz w:val="20"/>
                <w:szCs w:val="20"/>
                <w:color w:val="auto"/>
              </w:rPr>
            </w:pPr>
            <w:r>
              <w:rPr>
                <w:rFonts w:ascii="Arial" w:cs="Arial" w:eastAsia="Arial" w:hAnsi="Arial"/>
                <w:sz w:val="13"/>
                <w:szCs w:val="13"/>
                <w:b w:val="1"/>
                <w:bCs w:val="1"/>
                <w:color w:val="FFFFFF"/>
              </w:rPr>
              <w:t xml:space="preserve">Adjustments </w:t>
            </w:r>
            <w:r>
              <w:rPr>
                <w:rFonts w:ascii="Arial" w:cs="Arial" w:eastAsia="Arial" w:hAnsi="Arial"/>
                <w:sz w:val="20"/>
                <w:szCs w:val="20"/>
                <w:b w:val="1"/>
                <w:bCs w:val="1"/>
                <w:color w:val="FFFFFF"/>
                <w:vertAlign w:val="superscript"/>
              </w:rPr>
              <w:t>(2)</w:t>
            </w:r>
          </w:p>
        </w:tc>
        <w:tc>
          <w:tcPr>
            <w:tcW w:w="1780" w:type="dxa"/>
            <w:vAlign w:val="bottom"/>
            <w:shd w:val="clear" w:color="auto" w:fill="2D53A6"/>
          </w:tcPr>
          <w:p>
            <w:pPr>
              <w:jc w:val="center"/>
              <w:spacing w:after="0" w:line="175" w:lineRule="exact"/>
              <w:rPr>
                <w:sz w:val="20"/>
                <w:szCs w:val="20"/>
                <w:color w:val="auto"/>
              </w:rPr>
            </w:pPr>
            <w:r>
              <w:rPr>
                <w:rFonts w:ascii="Arial" w:cs="Arial" w:eastAsia="Arial" w:hAnsi="Arial"/>
                <w:sz w:val="13"/>
                <w:szCs w:val="13"/>
                <w:b w:val="1"/>
                <w:bCs w:val="1"/>
                <w:color w:val="FFFFFF"/>
              </w:rPr>
              <w:t xml:space="preserve">Pension Benefits </w:t>
            </w:r>
            <w:r>
              <w:rPr>
                <w:rFonts w:ascii="Arial" w:cs="Arial" w:eastAsia="Arial" w:hAnsi="Arial"/>
                <w:sz w:val="20"/>
                <w:szCs w:val="20"/>
                <w:b w:val="1"/>
                <w:bCs w:val="1"/>
                <w:color w:val="FFFFFF"/>
                <w:vertAlign w:val="superscript"/>
              </w:rPr>
              <w:t>(3)</w:t>
            </w:r>
          </w:p>
        </w:tc>
        <w:tc>
          <w:tcPr>
            <w:tcW w:w="1790" w:type="dxa"/>
            <w:vAlign w:val="bottom"/>
            <w:tcBorders>
              <w:right w:val="single" w:sz="8" w:color="0033A0"/>
            </w:tcBorders>
            <w:shd w:val="clear" w:color="auto" w:fill="2D53A6"/>
          </w:tcPr>
          <w:p>
            <w:pPr>
              <w:ind w:left="230"/>
              <w:spacing w:after="0" w:line="175" w:lineRule="exact"/>
              <w:rPr>
                <w:sz w:val="20"/>
                <w:szCs w:val="20"/>
                <w:color w:val="auto"/>
              </w:rPr>
            </w:pPr>
            <w:r>
              <w:rPr>
                <w:rFonts w:ascii="Arial" w:cs="Arial" w:eastAsia="Arial" w:hAnsi="Arial"/>
                <w:sz w:val="13"/>
                <w:szCs w:val="13"/>
                <w:b w:val="1"/>
                <w:bCs w:val="1"/>
                <w:color w:val="FFFFFF"/>
              </w:rPr>
              <w:t xml:space="preserve">Pension Benefits </w:t>
            </w:r>
            <w:r>
              <w:rPr>
                <w:rFonts w:ascii="Arial" w:cs="Arial" w:eastAsia="Arial" w:hAnsi="Arial"/>
                <w:sz w:val="20"/>
                <w:szCs w:val="20"/>
                <w:b w:val="1"/>
                <w:bCs w:val="1"/>
                <w:color w:val="FFFFFF"/>
                <w:vertAlign w:val="superscript"/>
              </w:rPr>
              <w:t>(3)</w:t>
            </w:r>
          </w:p>
        </w:tc>
        <w:tc>
          <w:tcPr>
            <w:tcW w:w="1780" w:type="dxa"/>
            <w:vAlign w:val="bottom"/>
            <w:tcBorders>
              <w:right w:val="single" w:sz="8" w:color="0033A0"/>
            </w:tcBorders>
            <w:shd w:val="clear" w:color="auto" w:fill="2D53A6"/>
          </w:tcPr>
          <w:p>
            <w:pPr>
              <w:jc w:val="right"/>
              <w:ind w:right="408"/>
              <w:spacing w:after="0"/>
              <w:rPr>
                <w:sz w:val="20"/>
                <w:szCs w:val="20"/>
                <w:color w:val="auto"/>
              </w:rPr>
            </w:pPr>
            <w:r>
              <w:rPr>
                <w:rFonts w:ascii="Arial" w:cs="Arial" w:eastAsia="Arial" w:hAnsi="Arial"/>
                <w:sz w:val="14"/>
                <w:szCs w:val="14"/>
                <w:b w:val="1"/>
                <w:bCs w:val="1"/>
                <w:color w:val="FFFFFF"/>
              </w:rPr>
              <w:t>CAP to CEO</w:t>
            </w:r>
          </w:p>
        </w:tc>
      </w:tr>
      <w:tr>
        <w:trPr>
          <w:trHeight w:val="162"/>
        </w:trPr>
        <w:tc>
          <w:tcPr>
            <w:tcW w:w="480" w:type="dxa"/>
            <w:vAlign w:val="bottom"/>
            <w:tcBorders>
              <w:left w:val="single" w:sz="8" w:color="0033A0"/>
              <w:right w:val="single" w:sz="8" w:color="0033A0"/>
            </w:tcBorders>
            <w:shd w:val="clear" w:color="auto" w:fill="2D53A6"/>
          </w:tcPr>
          <w:p>
            <w:pPr>
              <w:spacing w:after="0"/>
              <w:rPr>
                <w:sz w:val="14"/>
                <w:szCs w:val="14"/>
                <w:color w:val="auto"/>
              </w:rPr>
            </w:pPr>
          </w:p>
        </w:tc>
        <w:tc>
          <w:tcPr>
            <w:tcW w:w="1820" w:type="dxa"/>
            <w:vAlign w:val="bottom"/>
            <w:tcBorders>
              <w:right w:val="single" w:sz="8" w:color="0033A0"/>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820" w:type="dxa"/>
            <w:vAlign w:val="bottom"/>
            <w:tcBorders>
              <w:right w:val="single" w:sz="8" w:color="0033A0"/>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770" w:type="dxa"/>
            <w:vAlign w:val="bottom"/>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780" w:type="dxa"/>
            <w:vAlign w:val="bottom"/>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790" w:type="dxa"/>
            <w:vAlign w:val="bottom"/>
            <w:tcBorders>
              <w:right w:val="single" w:sz="8" w:color="0033A0"/>
            </w:tcBorders>
            <w:shd w:val="clear" w:color="auto" w:fill="2D53A6"/>
          </w:tcPr>
          <w:p>
            <w:pPr>
              <w:ind w:left="810"/>
              <w:spacing w:after="0"/>
              <w:rPr>
                <w:sz w:val="20"/>
                <w:szCs w:val="20"/>
                <w:color w:val="auto"/>
              </w:rPr>
            </w:pPr>
            <w:r>
              <w:rPr>
                <w:rFonts w:ascii="Arial" w:cs="Arial" w:eastAsia="Arial" w:hAnsi="Arial"/>
                <w:sz w:val="14"/>
                <w:szCs w:val="14"/>
                <w:b w:val="1"/>
                <w:bCs w:val="1"/>
                <w:color w:val="FFFFFF"/>
              </w:rPr>
              <w:t>($)</w:t>
            </w:r>
          </w:p>
        </w:tc>
        <w:tc>
          <w:tcPr>
            <w:tcW w:w="1780" w:type="dxa"/>
            <w:vAlign w:val="bottom"/>
            <w:tcBorders>
              <w:right w:val="single" w:sz="8" w:color="0033A0"/>
            </w:tcBorders>
            <w:shd w:val="clear" w:color="auto" w:fill="2D53A6"/>
          </w:tcPr>
          <w:p>
            <w:pPr>
              <w:jc w:val="right"/>
              <w:ind w:right="728"/>
              <w:spacing w:after="0"/>
              <w:rPr>
                <w:sz w:val="20"/>
                <w:szCs w:val="20"/>
                <w:color w:val="auto"/>
              </w:rPr>
            </w:pPr>
            <w:r>
              <w:rPr>
                <w:rFonts w:ascii="Arial" w:cs="Arial" w:eastAsia="Arial" w:hAnsi="Arial"/>
                <w:sz w:val="14"/>
                <w:szCs w:val="14"/>
                <w:b w:val="1"/>
                <w:bCs w:val="1"/>
                <w:color w:val="FFFFFF"/>
              </w:rPr>
              <w:t>($)</w:t>
            </w:r>
          </w:p>
        </w:tc>
      </w:tr>
      <w:tr>
        <w:trPr>
          <w:trHeight w:val="162"/>
        </w:trPr>
        <w:tc>
          <w:tcPr>
            <w:tcW w:w="480" w:type="dxa"/>
            <w:vAlign w:val="bottom"/>
            <w:tcBorders>
              <w:left w:val="single" w:sz="8" w:color="0033A0"/>
              <w:bottom w:val="single" w:sz="8" w:color="0033A0"/>
              <w:right w:val="single" w:sz="8" w:color="0033A0"/>
            </w:tcBorders>
          </w:tcPr>
          <w:p>
            <w:pPr>
              <w:ind w:left="80"/>
              <w:spacing w:after="0"/>
              <w:rPr>
                <w:sz w:val="20"/>
                <w:szCs w:val="20"/>
                <w:color w:val="auto"/>
              </w:rPr>
            </w:pPr>
            <w:r>
              <w:rPr>
                <w:rFonts w:ascii="Arial" w:cs="Arial" w:eastAsia="Arial" w:hAnsi="Arial"/>
                <w:sz w:val="14"/>
                <w:szCs w:val="14"/>
                <w:color w:val="auto"/>
              </w:rPr>
              <w:t>2024</w:t>
            </w:r>
          </w:p>
        </w:tc>
        <w:tc>
          <w:tcPr>
            <w:tcW w:w="1820" w:type="dxa"/>
            <w:vAlign w:val="bottom"/>
            <w:tcBorders>
              <w:bottom w:val="single" w:sz="8" w:color="0033A0"/>
              <w:right w:val="single" w:sz="8" w:color="0033A0"/>
            </w:tcBorders>
          </w:tcPr>
          <w:p>
            <w:pPr>
              <w:jc w:val="right"/>
              <w:ind w:right="48"/>
              <w:spacing w:after="0"/>
              <w:rPr>
                <w:sz w:val="20"/>
                <w:szCs w:val="20"/>
                <w:color w:val="auto"/>
              </w:rPr>
            </w:pPr>
            <w:r>
              <w:rPr>
                <w:rFonts w:ascii="Arial" w:cs="Arial" w:eastAsia="Arial" w:hAnsi="Arial"/>
                <w:sz w:val="14"/>
                <w:szCs w:val="14"/>
                <w:color w:val="auto"/>
              </w:rPr>
              <w:t>4,831,084</w:t>
            </w:r>
          </w:p>
        </w:tc>
        <w:tc>
          <w:tcPr>
            <w:tcW w:w="1820" w:type="dxa"/>
            <w:vAlign w:val="bottom"/>
            <w:tcBorders>
              <w:bottom w:val="single" w:sz="8" w:color="0033A0"/>
              <w:right w:val="single" w:sz="8" w:color="0033A0"/>
            </w:tcBorders>
          </w:tcPr>
          <w:p>
            <w:pPr>
              <w:jc w:val="right"/>
              <w:spacing w:after="0"/>
              <w:rPr>
                <w:sz w:val="20"/>
                <w:szCs w:val="20"/>
                <w:color w:val="auto"/>
              </w:rPr>
            </w:pPr>
            <w:r>
              <w:rPr>
                <w:rFonts w:ascii="Arial" w:cs="Arial" w:eastAsia="Arial" w:hAnsi="Arial"/>
                <w:sz w:val="14"/>
                <w:szCs w:val="14"/>
                <w:color w:val="auto"/>
              </w:rPr>
              <w:t>(4,091,920)</w:t>
            </w:r>
          </w:p>
        </w:tc>
        <w:tc>
          <w:tcPr>
            <w:tcW w:w="1770" w:type="dxa"/>
            <w:vAlign w:val="bottom"/>
            <w:tcBorders>
              <w:bottom w:val="single" w:sz="8" w:color="0033A0"/>
            </w:tcBorders>
          </w:tcPr>
          <w:p>
            <w:pPr>
              <w:jc w:val="right"/>
              <w:spacing w:after="0"/>
              <w:rPr>
                <w:sz w:val="20"/>
                <w:szCs w:val="20"/>
                <w:color w:val="auto"/>
              </w:rPr>
            </w:pPr>
            <w:r>
              <w:rPr>
                <w:rFonts w:ascii="Arial" w:cs="Arial" w:eastAsia="Arial" w:hAnsi="Arial"/>
                <w:sz w:val="14"/>
                <w:szCs w:val="14"/>
                <w:color w:val="auto"/>
              </w:rPr>
              <w:t>(2,197,303)</w:t>
            </w:r>
          </w:p>
        </w:tc>
        <w:tc>
          <w:tcPr>
            <w:tcW w:w="1780" w:type="dxa"/>
            <w:vAlign w:val="bottom"/>
            <w:tcBorders>
              <w:bottom w:val="single" w:sz="8" w:color="0033A0"/>
            </w:tcBorders>
          </w:tcPr>
          <w:p>
            <w:pPr>
              <w:ind w:left="1430"/>
              <w:spacing w:after="0"/>
              <w:rPr>
                <w:sz w:val="20"/>
                <w:szCs w:val="20"/>
                <w:color w:val="auto"/>
              </w:rPr>
            </w:pPr>
            <w:r>
              <w:rPr>
                <w:rFonts w:ascii="Arial" w:cs="Arial" w:eastAsia="Arial" w:hAnsi="Arial"/>
                <w:sz w:val="14"/>
                <w:szCs w:val="14"/>
                <w:color w:val="auto"/>
              </w:rPr>
              <w:t>N/A</w:t>
            </w:r>
          </w:p>
        </w:tc>
        <w:tc>
          <w:tcPr>
            <w:tcW w:w="1790" w:type="dxa"/>
            <w:vAlign w:val="bottom"/>
            <w:tcBorders>
              <w:bottom w:val="single" w:sz="8" w:color="0033A0"/>
              <w:right w:val="single" w:sz="8" w:color="0033A0"/>
            </w:tcBorders>
          </w:tcPr>
          <w:p>
            <w:pPr>
              <w:ind w:left="1450"/>
              <w:spacing w:after="0"/>
              <w:rPr>
                <w:sz w:val="20"/>
                <w:szCs w:val="20"/>
                <w:color w:val="auto"/>
              </w:rPr>
            </w:pPr>
            <w:r>
              <w:rPr>
                <w:rFonts w:ascii="Arial" w:cs="Arial" w:eastAsia="Arial" w:hAnsi="Arial"/>
                <w:sz w:val="14"/>
                <w:szCs w:val="14"/>
                <w:color w:val="auto"/>
              </w:rPr>
              <w:t>N/A</w:t>
            </w:r>
          </w:p>
        </w:tc>
        <w:tc>
          <w:tcPr>
            <w:tcW w:w="1780" w:type="dxa"/>
            <w:vAlign w:val="bottom"/>
            <w:tcBorders>
              <w:bottom w:val="single" w:sz="8" w:color="0033A0"/>
              <w:right w:val="single" w:sz="8" w:color="0033A0"/>
            </w:tcBorders>
          </w:tcPr>
          <w:p>
            <w:pPr>
              <w:jc w:val="right"/>
              <w:spacing w:after="0"/>
              <w:rPr>
                <w:sz w:val="20"/>
                <w:szCs w:val="20"/>
                <w:color w:val="auto"/>
              </w:rPr>
            </w:pPr>
            <w:r>
              <w:rPr>
                <w:rFonts w:ascii="Arial" w:cs="Arial" w:eastAsia="Arial" w:hAnsi="Arial"/>
                <w:sz w:val="14"/>
                <w:szCs w:val="14"/>
                <w:color w:val="auto"/>
              </w:rPr>
              <w:t>(1,458,139)</w:t>
            </w:r>
          </w:p>
        </w:tc>
      </w:tr>
      <w:tr>
        <w:trPr>
          <w:trHeight w:val="156"/>
        </w:trPr>
        <w:tc>
          <w:tcPr>
            <w:tcW w:w="480" w:type="dxa"/>
            <w:vAlign w:val="bottom"/>
            <w:tcBorders>
              <w:left w:val="single" w:sz="8" w:color="0033A0"/>
              <w:bottom w:val="single" w:sz="8" w:color="0033A0"/>
              <w:right w:val="single" w:sz="8" w:color="0033A0"/>
            </w:tcBorders>
            <w:shd w:val="clear" w:color="auto" w:fill="E6E6E6"/>
          </w:tcPr>
          <w:p>
            <w:pPr>
              <w:ind w:left="80"/>
              <w:spacing w:after="0" w:line="155" w:lineRule="exact"/>
              <w:rPr>
                <w:sz w:val="20"/>
                <w:szCs w:val="20"/>
                <w:color w:val="auto"/>
              </w:rPr>
            </w:pPr>
            <w:r>
              <w:rPr>
                <w:rFonts w:ascii="Arial" w:cs="Arial" w:eastAsia="Arial" w:hAnsi="Arial"/>
                <w:sz w:val="14"/>
                <w:szCs w:val="14"/>
                <w:color w:val="auto"/>
              </w:rPr>
              <w:t>2023</w:t>
            </w:r>
          </w:p>
        </w:tc>
        <w:tc>
          <w:tcPr>
            <w:tcW w:w="1820" w:type="dxa"/>
            <w:vAlign w:val="bottom"/>
            <w:tcBorders>
              <w:bottom w:val="single" w:sz="8" w:color="0033A0"/>
              <w:right w:val="single" w:sz="8" w:color="0033A0"/>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6,536,607</w:t>
            </w:r>
          </w:p>
        </w:tc>
        <w:tc>
          <w:tcPr>
            <w:tcW w:w="1820" w:type="dxa"/>
            <w:vAlign w:val="bottom"/>
            <w:tcBorders>
              <w:bottom w:val="single" w:sz="8" w:color="0033A0"/>
              <w:right w:val="single" w:sz="8" w:color="0033A0"/>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(5,051,219)</w:t>
            </w:r>
          </w:p>
        </w:tc>
        <w:tc>
          <w:tcPr>
            <w:tcW w:w="1770" w:type="dxa"/>
            <w:vAlign w:val="bottom"/>
            <w:tcBorders>
              <w:bottom w:val="single" w:sz="8" w:color="0033A0"/>
            </w:tcBorders>
            <w:shd w:val="clear" w:color="auto" w:fill="E6E6E6"/>
          </w:tcPr>
          <w:p>
            <w:pPr>
              <w:jc w:val="right"/>
              <w:ind w:right="39"/>
              <w:spacing w:after="0" w:line="155" w:lineRule="exact"/>
              <w:rPr>
                <w:sz w:val="20"/>
                <w:szCs w:val="20"/>
                <w:color w:val="auto"/>
              </w:rPr>
            </w:pPr>
            <w:r>
              <w:rPr>
                <w:rFonts w:ascii="Arial" w:cs="Arial" w:eastAsia="Arial" w:hAnsi="Arial"/>
                <w:sz w:val="14"/>
                <w:szCs w:val="14"/>
                <w:color w:val="auto"/>
              </w:rPr>
              <w:t>2,094,280</w:t>
            </w:r>
          </w:p>
        </w:tc>
        <w:tc>
          <w:tcPr>
            <w:tcW w:w="1780" w:type="dxa"/>
            <w:vAlign w:val="bottom"/>
            <w:tcBorders>
              <w:bottom w:val="single" w:sz="8" w:color="0033A0"/>
            </w:tcBorders>
            <w:shd w:val="clear" w:color="auto" w:fill="E6E6E6"/>
          </w:tcPr>
          <w:p>
            <w:pPr>
              <w:ind w:left="1430"/>
              <w:spacing w:after="0" w:line="155" w:lineRule="exact"/>
              <w:rPr>
                <w:sz w:val="20"/>
                <w:szCs w:val="20"/>
                <w:color w:val="auto"/>
              </w:rPr>
            </w:pPr>
            <w:r>
              <w:rPr>
                <w:rFonts w:ascii="Arial" w:cs="Arial" w:eastAsia="Arial" w:hAnsi="Arial"/>
                <w:sz w:val="14"/>
                <w:szCs w:val="14"/>
                <w:color w:val="auto"/>
              </w:rPr>
              <w:t>N/A</w:t>
            </w:r>
          </w:p>
        </w:tc>
        <w:tc>
          <w:tcPr>
            <w:tcW w:w="1790" w:type="dxa"/>
            <w:vAlign w:val="bottom"/>
            <w:tcBorders>
              <w:bottom w:val="single" w:sz="8" w:color="0033A0"/>
              <w:right w:val="single" w:sz="8" w:color="0033A0"/>
            </w:tcBorders>
            <w:shd w:val="clear" w:color="auto" w:fill="E6E6E6"/>
          </w:tcPr>
          <w:p>
            <w:pPr>
              <w:ind w:left="1450"/>
              <w:spacing w:after="0" w:line="155" w:lineRule="exact"/>
              <w:rPr>
                <w:sz w:val="20"/>
                <w:szCs w:val="20"/>
                <w:color w:val="auto"/>
              </w:rPr>
            </w:pPr>
            <w:r>
              <w:rPr>
                <w:rFonts w:ascii="Arial" w:cs="Arial" w:eastAsia="Arial" w:hAnsi="Arial"/>
                <w:sz w:val="14"/>
                <w:szCs w:val="14"/>
                <w:color w:val="auto"/>
              </w:rPr>
              <w:t>N/A</w:t>
            </w:r>
          </w:p>
        </w:tc>
        <w:tc>
          <w:tcPr>
            <w:tcW w:w="1780" w:type="dxa"/>
            <w:vAlign w:val="bottom"/>
            <w:tcBorders>
              <w:bottom w:val="single" w:sz="8" w:color="0033A0"/>
              <w:right w:val="single" w:sz="8" w:color="0033A0"/>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3,579,668</w:t>
            </w:r>
          </w:p>
        </w:tc>
      </w:tr>
      <w:tr>
        <w:trPr>
          <w:trHeight w:val="156"/>
        </w:trPr>
        <w:tc>
          <w:tcPr>
            <w:tcW w:w="480" w:type="dxa"/>
            <w:vAlign w:val="bottom"/>
            <w:tcBorders>
              <w:left w:val="single" w:sz="8" w:color="0033A0"/>
              <w:bottom w:val="single" w:sz="8" w:color="0033A0"/>
              <w:right w:val="single" w:sz="8" w:color="0033A0"/>
            </w:tcBorders>
          </w:tcPr>
          <w:p>
            <w:pPr>
              <w:ind w:left="80"/>
              <w:spacing w:after="0" w:line="155" w:lineRule="exact"/>
              <w:rPr>
                <w:sz w:val="20"/>
                <w:szCs w:val="20"/>
                <w:color w:val="auto"/>
              </w:rPr>
            </w:pPr>
            <w:r>
              <w:rPr>
                <w:rFonts w:ascii="Arial" w:cs="Arial" w:eastAsia="Arial" w:hAnsi="Arial"/>
                <w:sz w:val="14"/>
                <w:szCs w:val="14"/>
                <w:color w:val="auto"/>
              </w:rPr>
              <w:t>2022</w:t>
            </w:r>
          </w:p>
        </w:tc>
        <w:tc>
          <w:tcPr>
            <w:tcW w:w="1820" w:type="dxa"/>
            <w:vAlign w:val="bottom"/>
            <w:tcBorders>
              <w:bottom w:val="single" w:sz="8" w:color="0033A0"/>
              <w:right w:val="single" w:sz="8" w:color="0033A0"/>
            </w:tcBorders>
          </w:tcPr>
          <w:p>
            <w:pPr>
              <w:jc w:val="right"/>
              <w:ind w:right="48"/>
              <w:spacing w:after="0" w:line="155" w:lineRule="exact"/>
              <w:rPr>
                <w:sz w:val="20"/>
                <w:szCs w:val="20"/>
                <w:color w:val="auto"/>
              </w:rPr>
            </w:pPr>
            <w:r>
              <w:rPr>
                <w:rFonts w:ascii="Arial" w:cs="Arial" w:eastAsia="Arial" w:hAnsi="Arial"/>
                <w:sz w:val="14"/>
                <w:szCs w:val="14"/>
                <w:color w:val="auto"/>
              </w:rPr>
              <w:t>5,315,286</w:t>
            </w:r>
          </w:p>
        </w:tc>
        <w:tc>
          <w:tcPr>
            <w:tcW w:w="1820" w:type="dxa"/>
            <w:vAlign w:val="bottom"/>
            <w:tcBorders>
              <w:bottom w:val="single" w:sz="8" w:color="0033A0"/>
              <w:right w:val="single" w:sz="8" w:color="0033A0"/>
            </w:tcBorders>
          </w:tcPr>
          <w:p>
            <w:pPr>
              <w:jc w:val="right"/>
              <w:spacing w:after="0" w:line="155" w:lineRule="exact"/>
              <w:rPr>
                <w:sz w:val="20"/>
                <w:szCs w:val="20"/>
                <w:color w:val="auto"/>
              </w:rPr>
            </w:pPr>
            <w:r>
              <w:rPr>
                <w:rFonts w:ascii="Arial" w:cs="Arial" w:eastAsia="Arial" w:hAnsi="Arial"/>
                <w:sz w:val="14"/>
                <w:szCs w:val="14"/>
                <w:color w:val="auto"/>
              </w:rPr>
              <w:t>(3,321,901)</w:t>
            </w:r>
          </w:p>
        </w:tc>
        <w:tc>
          <w:tcPr>
            <w:tcW w:w="1770" w:type="dxa"/>
            <w:vAlign w:val="bottom"/>
            <w:tcBorders>
              <w:bottom w:val="single" w:sz="8" w:color="0033A0"/>
            </w:tcBorders>
          </w:tcPr>
          <w:p>
            <w:pPr>
              <w:jc w:val="right"/>
              <w:ind w:right="39"/>
              <w:spacing w:after="0" w:line="155" w:lineRule="exact"/>
              <w:rPr>
                <w:sz w:val="20"/>
                <w:szCs w:val="20"/>
                <w:color w:val="auto"/>
              </w:rPr>
            </w:pPr>
            <w:r>
              <w:rPr>
                <w:rFonts w:ascii="Arial" w:cs="Arial" w:eastAsia="Arial" w:hAnsi="Arial"/>
                <w:sz w:val="14"/>
                <w:szCs w:val="14"/>
                <w:color w:val="auto"/>
              </w:rPr>
              <w:t>3,412,877</w:t>
            </w:r>
          </w:p>
        </w:tc>
        <w:tc>
          <w:tcPr>
            <w:tcW w:w="1780" w:type="dxa"/>
            <w:vAlign w:val="bottom"/>
            <w:tcBorders>
              <w:bottom w:val="single" w:sz="8" w:color="0033A0"/>
            </w:tcBorders>
          </w:tcPr>
          <w:p>
            <w:pPr>
              <w:ind w:left="1430"/>
              <w:spacing w:after="0" w:line="155" w:lineRule="exact"/>
              <w:rPr>
                <w:sz w:val="20"/>
                <w:szCs w:val="20"/>
                <w:color w:val="auto"/>
              </w:rPr>
            </w:pPr>
            <w:r>
              <w:rPr>
                <w:rFonts w:ascii="Arial" w:cs="Arial" w:eastAsia="Arial" w:hAnsi="Arial"/>
                <w:sz w:val="14"/>
                <w:szCs w:val="14"/>
                <w:color w:val="auto"/>
              </w:rPr>
              <w:t>N/A</w:t>
            </w:r>
          </w:p>
        </w:tc>
        <w:tc>
          <w:tcPr>
            <w:tcW w:w="1790" w:type="dxa"/>
            <w:vAlign w:val="bottom"/>
            <w:tcBorders>
              <w:bottom w:val="single" w:sz="8" w:color="0033A0"/>
              <w:right w:val="single" w:sz="8" w:color="0033A0"/>
            </w:tcBorders>
          </w:tcPr>
          <w:p>
            <w:pPr>
              <w:ind w:left="1450"/>
              <w:spacing w:after="0" w:line="155" w:lineRule="exact"/>
              <w:rPr>
                <w:sz w:val="20"/>
                <w:szCs w:val="20"/>
                <w:color w:val="auto"/>
              </w:rPr>
            </w:pPr>
            <w:r>
              <w:rPr>
                <w:rFonts w:ascii="Arial" w:cs="Arial" w:eastAsia="Arial" w:hAnsi="Arial"/>
                <w:sz w:val="14"/>
                <w:szCs w:val="14"/>
                <w:color w:val="auto"/>
              </w:rPr>
              <w:t>N/A</w:t>
            </w:r>
          </w:p>
        </w:tc>
        <w:tc>
          <w:tcPr>
            <w:tcW w:w="1780" w:type="dxa"/>
            <w:vAlign w:val="bottom"/>
            <w:tcBorders>
              <w:bottom w:val="single" w:sz="8" w:color="0033A0"/>
              <w:right w:val="single" w:sz="8" w:color="0033A0"/>
            </w:tcBorders>
          </w:tcPr>
          <w:p>
            <w:pPr>
              <w:jc w:val="right"/>
              <w:ind w:right="28"/>
              <w:spacing w:after="0" w:line="155" w:lineRule="exact"/>
              <w:rPr>
                <w:sz w:val="20"/>
                <w:szCs w:val="20"/>
                <w:color w:val="auto"/>
              </w:rPr>
            </w:pPr>
            <w:r>
              <w:rPr>
                <w:rFonts w:ascii="Arial" w:cs="Arial" w:eastAsia="Arial" w:hAnsi="Arial"/>
                <w:sz w:val="14"/>
                <w:szCs w:val="14"/>
                <w:color w:val="auto"/>
              </w:rPr>
              <w:t>5,406,262</w:t>
            </w:r>
          </w:p>
        </w:tc>
      </w:tr>
      <w:tr>
        <w:trPr>
          <w:trHeight w:val="156"/>
        </w:trPr>
        <w:tc>
          <w:tcPr>
            <w:tcW w:w="480" w:type="dxa"/>
            <w:vAlign w:val="bottom"/>
            <w:tcBorders>
              <w:left w:val="single" w:sz="8" w:color="0033A0"/>
              <w:bottom w:val="single" w:sz="8" w:color="0033A0"/>
              <w:right w:val="single" w:sz="8" w:color="0033A0"/>
            </w:tcBorders>
            <w:shd w:val="clear" w:color="auto" w:fill="E6E6E6"/>
          </w:tcPr>
          <w:p>
            <w:pPr>
              <w:ind w:left="80"/>
              <w:spacing w:after="0" w:line="155" w:lineRule="exact"/>
              <w:rPr>
                <w:sz w:val="20"/>
                <w:szCs w:val="20"/>
                <w:color w:val="auto"/>
              </w:rPr>
            </w:pPr>
            <w:r>
              <w:rPr>
                <w:rFonts w:ascii="Arial" w:cs="Arial" w:eastAsia="Arial" w:hAnsi="Arial"/>
                <w:sz w:val="14"/>
                <w:szCs w:val="14"/>
                <w:color w:val="auto"/>
              </w:rPr>
              <w:t>2021</w:t>
            </w:r>
          </w:p>
        </w:tc>
        <w:tc>
          <w:tcPr>
            <w:tcW w:w="1820" w:type="dxa"/>
            <w:vAlign w:val="bottom"/>
            <w:tcBorders>
              <w:bottom w:val="single" w:sz="8" w:color="0033A0"/>
              <w:right w:val="single" w:sz="8" w:color="0033A0"/>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4,582,416</w:t>
            </w:r>
          </w:p>
        </w:tc>
        <w:tc>
          <w:tcPr>
            <w:tcW w:w="1820" w:type="dxa"/>
            <w:vAlign w:val="bottom"/>
            <w:tcBorders>
              <w:bottom w:val="single" w:sz="8" w:color="0033A0"/>
              <w:right w:val="single" w:sz="8" w:color="0033A0"/>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(2,891,579)</w:t>
            </w:r>
          </w:p>
        </w:tc>
        <w:tc>
          <w:tcPr>
            <w:tcW w:w="1770" w:type="dxa"/>
            <w:vAlign w:val="bottom"/>
            <w:tcBorders>
              <w:bottom w:val="single" w:sz="8" w:color="0033A0"/>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(731,034)</w:t>
            </w:r>
          </w:p>
        </w:tc>
        <w:tc>
          <w:tcPr>
            <w:tcW w:w="1780" w:type="dxa"/>
            <w:vAlign w:val="bottom"/>
            <w:tcBorders>
              <w:bottom w:val="single" w:sz="8" w:color="0033A0"/>
            </w:tcBorders>
            <w:shd w:val="clear" w:color="auto" w:fill="E6E6E6"/>
          </w:tcPr>
          <w:p>
            <w:pPr>
              <w:ind w:left="1430"/>
              <w:spacing w:after="0" w:line="155" w:lineRule="exact"/>
              <w:rPr>
                <w:sz w:val="20"/>
                <w:szCs w:val="20"/>
                <w:color w:val="auto"/>
              </w:rPr>
            </w:pPr>
            <w:r>
              <w:rPr>
                <w:rFonts w:ascii="Arial" w:cs="Arial" w:eastAsia="Arial" w:hAnsi="Arial"/>
                <w:sz w:val="14"/>
                <w:szCs w:val="14"/>
                <w:color w:val="auto"/>
              </w:rPr>
              <w:t>N/A</w:t>
            </w:r>
          </w:p>
        </w:tc>
        <w:tc>
          <w:tcPr>
            <w:tcW w:w="1790" w:type="dxa"/>
            <w:vAlign w:val="bottom"/>
            <w:tcBorders>
              <w:bottom w:val="single" w:sz="8" w:color="0033A0"/>
              <w:right w:val="single" w:sz="8" w:color="0033A0"/>
            </w:tcBorders>
            <w:shd w:val="clear" w:color="auto" w:fill="E6E6E6"/>
          </w:tcPr>
          <w:p>
            <w:pPr>
              <w:ind w:left="1450"/>
              <w:spacing w:after="0" w:line="155" w:lineRule="exact"/>
              <w:rPr>
                <w:sz w:val="20"/>
                <w:szCs w:val="20"/>
                <w:color w:val="auto"/>
              </w:rPr>
            </w:pPr>
            <w:r>
              <w:rPr>
                <w:rFonts w:ascii="Arial" w:cs="Arial" w:eastAsia="Arial" w:hAnsi="Arial"/>
                <w:sz w:val="14"/>
                <w:szCs w:val="14"/>
                <w:color w:val="auto"/>
              </w:rPr>
              <w:t>N/A</w:t>
            </w:r>
          </w:p>
        </w:tc>
        <w:tc>
          <w:tcPr>
            <w:tcW w:w="1780" w:type="dxa"/>
            <w:vAlign w:val="bottom"/>
            <w:tcBorders>
              <w:bottom w:val="single" w:sz="8" w:color="0033A0"/>
              <w:right w:val="single" w:sz="8" w:color="0033A0"/>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959,803</w:t>
            </w:r>
          </w:p>
        </w:tc>
      </w:tr>
      <w:tr>
        <w:trPr>
          <w:trHeight w:val="155"/>
        </w:trPr>
        <w:tc>
          <w:tcPr>
            <w:tcW w:w="480" w:type="dxa"/>
            <w:vAlign w:val="bottom"/>
            <w:tcBorders>
              <w:left w:val="single" w:sz="8" w:color="0033A0"/>
              <w:bottom w:val="single" w:sz="8" w:color="0033A0"/>
              <w:right w:val="single" w:sz="8" w:color="0033A0"/>
            </w:tcBorders>
          </w:tcPr>
          <w:p>
            <w:pPr>
              <w:ind w:left="80"/>
              <w:spacing w:after="0" w:line="155" w:lineRule="exact"/>
              <w:rPr>
                <w:sz w:val="20"/>
                <w:szCs w:val="20"/>
                <w:color w:val="auto"/>
              </w:rPr>
            </w:pPr>
            <w:r>
              <w:rPr>
                <w:rFonts w:ascii="Arial" w:cs="Arial" w:eastAsia="Arial" w:hAnsi="Arial"/>
                <w:sz w:val="14"/>
                <w:szCs w:val="14"/>
                <w:color w:val="auto"/>
              </w:rPr>
              <w:t>2020</w:t>
            </w:r>
          </w:p>
        </w:tc>
        <w:tc>
          <w:tcPr>
            <w:tcW w:w="1820" w:type="dxa"/>
            <w:vAlign w:val="bottom"/>
            <w:tcBorders>
              <w:bottom w:val="single" w:sz="8" w:color="0033A0"/>
              <w:right w:val="single" w:sz="8" w:color="0033A0"/>
            </w:tcBorders>
          </w:tcPr>
          <w:p>
            <w:pPr>
              <w:jc w:val="right"/>
              <w:ind w:right="48"/>
              <w:spacing w:after="0" w:line="155" w:lineRule="exact"/>
              <w:rPr>
                <w:sz w:val="20"/>
                <w:szCs w:val="20"/>
                <w:color w:val="auto"/>
              </w:rPr>
            </w:pPr>
            <w:r>
              <w:rPr>
                <w:rFonts w:ascii="Arial" w:cs="Arial" w:eastAsia="Arial" w:hAnsi="Arial"/>
                <w:sz w:val="14"/>
                <w:szCs w:val="14"/>
                <w:color w:val="auto"/>
              </w:rPr>
              <w:t>3,315,895</w:t>
            </w:r>
          </w:p>
        </w:tc>
        <w:tc>
          <w:tcPr>
            <w:tcW w:w="1820" w:type="dxa"/>
            <w:vAlign w:val="bottom"/>
            <w:tcBorders>
              <w:bottom w:val="single" w:sz="8" w:color="0033A0"/>
              <w:right w:val="single" w:sz="8" w:color="0033A0"/>
            </w:tcBorders>
          </w:tcPr>
          <w:p>
            <w:pPr>
              <w:jc w:val="right"/>
              <w:spacing w:after="0" w:line="155" w:lineRule="exact"/>
              <w:rPr>
                <w:sz w:val="20"/>
                <w:szCs w:val="20"/>
                <w:color w:val="auto"/>
              </w:rPr>
            </w:pPr>
            <w:r>
              <w:rPr>
                <w:rFonts w:ascii="Arial" w:cs="Arial" w:eastAsia="Arial" w:hAnsi="Arial"/>
                <w:sz w:val="14"/>
                <w:szCs w:val="14"/>
                <w:color w:val="auto"/>
              </w:rPr>
              <w:t>(2,138,683)</w:t>
            </w:r>
          </w:p>
        </w:tc>
        <w:tc>
          <w:tcPr>
            <w:tcW w:w="1770" w:type="dxa"/>
            <w:vAlign w:val="bottom"/>
            <w:tcBorders>
              <w:bottom w:val="single" w:sz="8" w:color="0033A0"/>
            </w:tcBorders>
          </w:tcPr>
          <w:p>
            <w:pPr>
              <w:jc w:val="right"/>
              <w:ind w:right="39"/>
              <w:spacing w:after="0" w:line="155" w:lineRule="exact"/>
              <w:rPr>
                <w:sz w:val="20"/>
                <w:szCs w:val="20"/>
                <w:color w:val="auto"/>
              </w:rPr>
            </w:pPr>
            <w:r>
              <w:rPr>
                <w:rFonts w:ascii="Arial" w:cs="Arial" w:eastAsia="Arial" w:hAnsi="Arial"/>
                <w:sz w:val="14"/>
                <w:szCs w:val="14"/>
                <w:color w:val="auto"/>
              </w:rPr>
              <w:t>10,920,402</w:t>
            </w:r>
          </w:p>
        </w:tc>
        <w:tc>
          <w:tcPr>
            <w:tcW w:w="1780" w:type="dxa"/>
            <w:vAlign w:val="bottom"/>
            <w:tcBorders>
              <w:bottom w:val="single" w:sz="8" w:color="0033A0"/>
            </w:tcBorders>
          </w:tcPr>
          <w:p>
            <w:pPr>
              <w:ind w:left="1430"/>
              <w:spacing w:after="0" w:line="155" w:lineRule="exact"/>
              <w:rPr>
                <w:sz w:val="20"/>
                <w:szCs w:val="20"/>
                <w:color w:val="auto"/>
              </w:rPr>
            </w:pPr>
            <w:r>
              <w:rPr>
                <w:rFonts w:ascii="Arial" w:cs="Arial" w:eastAsia="Arial" w:hAnsi="Arial"/>
                <w:sz w:val="14"/>
                <w:szCs w:val="14"/>
                <w:color w:val="auto"/>
              </w:rPr>
              <w:t>N/A</w:t>
            </w:r>
          </w:p>
        </w:tc>
        <w:tc>
          <w:tcPr>
            <w:tcW w:w="1790" w:type="dxa"/>
            <w:vAlign w:val="bottom"/>
            <w:tcBorders>
              <w:bottom w:val="single" w:sz="8" w:color="0033A0"/>
              <w:right w:val="single" w:sz="8" w:color="0033A0"/>
            </w:tcBorders>
          </w:tcPr>
          <w:p>
            <w:pPr>
              <w:ind w:left="1450"/>
              <w:spacing w:after="0" w:line="155" w:lineRule="exact"/>
              <w:rPr>
                <w:sz w:val="20"/>
                <w:szCs w:val="20"/>
                <w:color w:val="auto"/>
              </w:rPr>
            </w:pPr>
            <w:r>
              <w:rPr>
                <w:rFonts w:ascii="Arial" w:cs="Arial" w:eastAsia="Arial" w:hAnsi="Arial"/>
                <w:sz w:val="14"/>
                <w:szCs w:val="14"/>
                <w:color w:val="auto"/>
              </w:rPr>
              <w:t>N/A</w:t>
            </w:r>
          </w:p>
        </w:tc>
        <w:tc>
          <w:tcPr>
            <w:tcW w:w="1780" w:type="dxa"/>
            <w:vAlign w:val="bottom"/>
            <w:tcBorders>
              <w:bottom w:val="single" w:sz="8" w:color="0033A0"/>
              <w:right w:val="single" w:sz="8" w:color="0033A0"/>
            </w:tcBorders>
          </w:tcPr>
          <w:p>
            <w:pPr>
              <w:jc w:val="right"/>
              <w:ind w:right="28"/>
              <w:spacing w:after="0" w:line="155" w:lineRule="exact"/>
              <w:rPr>
                <w:sz w:val="20"/>
                <w:szCs w:val="20"/>
                <w:color w:val="auto"/>
              </w:rPr>
            </w:pPr>
            <w:r>
              <w:rPr>
                <w:rFonts w:ascii="Arial" w:cs="Arial" w:eastAsia="Arial" w:hAnsi="Arial"/>
                <w:sz w:val="14"/>
                <w:szCs w:val="14"/>
                <w:color w:val="auto"/>
              </w:rPr>
              <w:t>12,097,614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-569595</wp:posOffset>
            </wp:positionV>
            <wp:extent cx="33655" cy="5829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582930"/>
                    </a:xfrm>
                    <a:prstGeom prst="rect">
                      <a:avLst/>
                    </a:prstGeom>
                    <a:noFill/>
                  </pic:spPr>
                </pic:pic>
              </a:graphicData>
            </a:graphic>
          </wp:anchor>
        </w:drawing>
        <w:drawing>
          <wp:anchor simplePos="0" relativeHeight="251657728" behindDoc="1" locked="0" layoutInCell="0" allowOverlap="1">
            <wp:simplePos x="0" y="0"/>
            <wp:positionH relativeFrom="column">
              <wp:posOffset>4852670</wp:posOffset>
            </wp:positionH>
            <wp:positionV relativeFrom="paragraph">
              <wp:posOffset>-569595</wp:posOffset>
            </wp:positionV>
            <wp:extent cx="33655" cy="5829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582930"/>
                    </a:xfrm>
                    <a:prstGeom prst="rect">
                      <a:avLst/>
                    </a:prstGeom>
                    <a:noFill/>
                  </pic:spPr>
                </pic:pic>
              </a:graphicData>
            </a:graphic>
          </wp:anchor>
        </w:drawing>
      </w:r>
    </w:p>
    <w:p>
      <w:pPr>
        <w:spacing w:after="0" w:line="173"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grant date fair value of equity awards represents the amounts reported in the “Stock Awards” column in the SCT for each applicable year.</w:t>
      </w:r>
    </w:p>
    <w:p>
      <w:pPr>
        <w:spacing w:after="0" w:line="15"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detailed in the Equity Component of CAP Reconciliation tables that follow.</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Neither the CEO nor any other NEO has Pension Benefits.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Equity Component of CAP Reconciliation</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480" w:type="dxa"/>
            <w:vAlign w:val="bottom"/>
            <w:tcBorders>
              <w:left w:val="single" w:sz="8" w:color="2D53A6"/>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spacing w:after="0"/>
              <w:rPr>
                <w:sz w:val="14"/>
                <w:szCs w:val="14"/>
                <w:color w:val="auto"/>
              </w:rPr>
            </w:pPr>
          </w:p>
        </w:tc>
        <w:tc>
          <w:tcPr>
            <w:tcW w:w="1600" w:type="dxa"/>
            <w:vAlign w:val="bottom"/>
            <w:tcBorders>
              <w:right w:val="single" w:sz="8" w:color="2D53A6"/>
            </w:tcBorders>
            <w:shd w:val="clear" w:color="auto" w:fill="2D53A6"/>
          </w:tcPr>
          <w:p>
            <w:pPr>
              <w:spacing w:after="0"/>
              <w:rPr>
                <w:sz w:val="14"/>
                <w:szCs w:val="14"/>
                <w:color w:val="auto"/>
              </w:rPr>
            </w:pPr>
          </w:p>
        </w:tc>
        <w:tc>
          <w:tcPr>
            <w:tcW w:w="1560" w:type="dxa"/>
            <w:vAlign w:val="bottom"/>
            <w:tcBorders>
              <w:right w:val="single" w:sz="8" w:color="2D53A6"/>
            </w:tcBorders>
            <w:shd w:val="clear" w:color="auto" w:fill="2D53A6"/>
          </w:tcPr>
          <w:p>
            <w:pPr>
              <w:spacing w:after="0"/>
              <w:rPr>
                <w:sz w:val="14"/>
                <w:szCs w:val="14"/>
                <w:color w:val="auto"/>
              </w:rPr>
            </w:pPr>
          </w:p>
        </w:tc>
        <w:tc>
          <w:tcPr>
            <w:tcW w:w="1560" w:type="dxa"/>
            <w:vAlign w:val="bottom"/>
            <w:tcBorders>
              <w:right w:val="single" w:sz="8" w:color="2D53A6"/>
            </w:tcBorders>
            <w:shd w:val="clear" w:color="auto" w:fill="2D53A6"/>
          </w:tcPr>
          <w:p>
            <w:pPr>
              <w:spacing w:after="0"/>
              <w:rPr>
                <w:sz w:val="14"/>
                <w:szCs w:val="14"/>
                <w:color w:val="auto"/>
              </w:rPr>
            </w:pPr>
          </w:p>
        </w:tc>
        <w:tc>
          <w:tcPr>
            <w:tcW w:w="1540" w:type="dxa"/>
            <w:vAlign w:val="bottom"/>
            <w:tcBorders>
              <w:right w:val="single" w:sz="8" w:color="2D53A6"/>
            </w:tcBorders>
            <w:shd w:val="clear" w:color="auto" w:fill="2D53A6"/>
          </w:tcPr>
          <w:p>
            <w:pPr>
              <w:spacing w:after="0"/>
              <w:rPr>
                <w:sz w:val="14"/>
                <w:szCs w:val="14"/>
                <w:color w:val="auto"/>
              </w:rPr>
            </w:pP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Value of</w:t>
            </w:r>
          </w:p>
        </w:tc>
        <w:tc>
          <w:tcPr>
            <w:tcW w:w="1440" w:type="dxa"/>
            <w:vAlign w:val="bottom"/>
            <w:tcBorders>
              <w:right w:val="single" w:sz="8" w:color="2D53A6"/>
            </w:tcBorders>
            <w:shd w:val="clear" w:color="auto" w:fill="2D53A6"/>
          </w:tcPr>
          <w:p>
            <w:pPr>
              <w:spacing w:after="0"/>
              <w:rPr>
                <w:sz w:val="14"/>
                <w:szCs w:val="14"/>
                <w:color w:val="auto"/>
              </w:rPr>
            </w:pPr>
          </w:p>
        </w:tc>
      </w:tr>
      <w:tr>
        <w:trPr>
          <w:trHeight w:val="162"/>
        </w:trPr>
        <w:tc>
          <w:tcPr>
            <w:tcW w:w="480" w:type="dxa"/>
            <w:vAlign w:val="bottom"/>
            <w:tcBorders>
              <w:left w:val="single" w:sz="8" w:color="2D53A6"/>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spacing w:after="0"/>
              <w:rPr>
                <w:sz w:val="14"/>
                <w:szCs w:val="14"/>
                <w:color w:val="auto"/>
              </w:rPr>
            </w:pPr>
          </w:p>
        </w:tc>
        <w:tc>
          <w:tcPr>
            <w:tcW w:w="1600" w:type="dxa"/>
            <w:vAlign w:val="bottom"/>
            <w:tcBorders>
              <w:right w:val="single" w:sz="8" w:color="2D53A6"/>
            </w:tcBorders>
            <w:shd w:val="clear" w:color="auto" w:fill="2D53A6"/>
          </w:tcPr>
          <w:p>
            <w:pPr>
              <w:spacing w:after="0"/>
              <w:rPr>
                <w:sz w:val="14"/>
                <w:szCs w:val="14"/>
                <w:color w:val="auto"/>
              </w:rPr>
            </w:pPr>
          </w:p>
        </w:tc>
        <w:tc>
          <w:tcPr>
            <w:tcW w:w="1560" w:type="dxa"/>
            <w:vAlign w:val="bottom"/>
            <w:tcBorders>
              <w:right w:val="single" w:sz="8" w:color="2D53A6"/>
            </w:tcBorders>
            <w:shd w:val="clear" w:color="auto" w:fill="2D53A6"/>
          </w:tcPr>
          <w:p>
            <w:pPr>
              <w:spacing w:after="0"/>
              <w:rPr>
                <w:sz w:val="14"/>
                <w:szCs w:val="14"/>
                <w:color w:val="auto"/>
              </w:rPr>
            </w:pPr>
          </w:p>
        </w:tc>
        <w:tc>
          <w:tcPr>
            <w:tcW w:w="1560" w:type="dxa"/>
            <w:vAlign w:val="bottom"/>
            <w:tcBorders>
              <w:right w:val="single" w:sz="8" w:color="2D53A6"/>
            </w:tcBorders>
            <w:shd w:val="clear" w:color="auto" w:fill="2D53A6"/>
          </w:tcPr>
          <w:p>
            <w:pPr>
              <w:spacing w:after="0"/>
              <w:rPr>
                <w:sz w:val="14"/>
                <w:szCs w:val="14"/>
                <w:color w:val="auto"/>
              </w:rPr>
            </w:pPr>
          </w:p>
        </w:tc>
        <w:tc>
          <w:tcPr>
            <w:tcW w:w="1540" w:type="dxa"/>
            <w:vAlign w:val="bottom"/>
            <w:tcBorders>
              <w:right w:val="single" w:sz="8" w:color="2D53A6"/>
            </w:tcBorders>
            <w:shd w:val="clear" w:color="auto" w:fill="2D53A6"/>
          </w:tcPr>
          <w:p>
            <w:pPr>
              <w:spacing w:after="0"/>
              <w:rPr>
                <w:sz w:val="14"/>
                <w:szCs w:val="14"/>
                <w:color w:val="auto"/>
              </w:rPr>
            </w:pP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Dividends or</w:t>
            </w:r>
          </w:p>
        </w:tc>
        <w:tc>
          <w:tcPr>
            <w:tcW w:w="1440" w:type="dxa"/>
            <w:vAlign w:val="bottom"/>
            <w:tcBorders>
              <w:right w:val="single" w:sz="8" w:color="2D53A6"/>
            </w:tcBorders>
            <w:shd w:val="clear" w:color="auto" w:fill="2D53A6"/>
          </w:tcPr>
          <w:p>
            <w:pPr>
              <w:spacing w:after="0"/>
              <w:rPr>
                <w:sz w:val="14"/>
                <w:szCs w:val="14"/>
                <w:color w:val="auto"/>
              </w:rPr>
            </w:pPr>
          </w:p>
        </w:tc>
      </w:tr>
      <w:tr>
        <w:trPr>
          <w:trHeight w:val="162"/>
        </w:trPr>
        <w:tc>
          <w:tcPr>
            <w:tcW w:w="480" w:type="dxa"/>
            <w:vAlign w:val="bottom"/>
            <w:tcBorders>
              <w:left w:val="single" w:sz="8" w:color="2D53A6"/>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spacing w:after="0"/>
              <w:rPr>
                <w:sz w:val="14"/>
                <w:szCs w:val="14"/>
                <w:color w:val="auto"/>
              </w:rPr>
            </w:pPr>
          </w:p>
        </w:tc>
        <w:tc>
          <w:tcPr>
            <w:tcW w:w="1600" w:type="dxa"/>
            <w:vAlign w:val="bottom"/>
            <w:tcBorders>
              <w:right w:val="single" w:sz="8" w:color="2D53A6"/>
            </w:tcBorders>
            <w:shd w:val="clear" w:color="auto" w:fill="2D53A6"/>
          </w:tcPr>
          <w:p>
            <w:pPr>
              <w:spacing w:after="0"/>
              <w:rPr>
                <w:sz w:val="14"/>
                <w:szCs w:val="14"/>
                <w:color w:val="auto"/>
              </w:rPr>
            </w:pPr>
          </w:p>
        </w:tc>
        <w:tc>
          <w:tcPr>
            <w:tcW w:w="1560" w:type="dxa"/>
            <w:vAlign w:val="bottom"/>
            <w:tcBorders>
              <w:right w:val="single" w:sz="8" w:color="2D53A6"/>
            </w:tcBorders>
            <w:shd w:val="clear" w:color="auto" w:fill="2D53A6"/>
          </w:tcPr>
          <w:p>
            <w:pPr>
              <w:spacing w:after="0"/>
              <w:rPr>
                <w:sz w:val="14"/>
                <w:szCs w:val="14"/>
                <w:color w:val="auto"/>
              </w:rPr>
            </w:pPr>
          </w:p>
        </w:tc>
        <w:tc>
          <w:tcPr>
            <w:tcW w:w="1560" w:type="dxa"/>
            <w:vAlign w:val="bottom"/>
            <w:tcBorders>
              <w:right w:val="single" w:sz="8" w:color="2D53A6"/>
            </w:tcBorders>
            <w:shd w:val="clear" w:color="auto" w:fill="2D53A6"/>
          </w:tcPr>
          <w:p>
            <w:pPr>
              <w:spacing w:after="0"/>
              <w:rPr>
                <w:sz w:val="14"/>
                <w:szCs w:val="14"/>
                <w:color w:val="auto"/>
              </w:rPr>
            </w:pP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Fair Value at the</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other Earnings</w:t>
            </w:r>
          </w:p>
        </w:tc>
        <w:tc>
          <w:tcPr>
            <w:tcW w:w="1440" w:type="dxa"/>
            <w:vAlign w:val="bottom"/>
            <w:tcBorders>
              <w:right w:val="single" w:sz="8" w:color="2D53A6"/>
            </w:tcBorders>
            <w:shd w:val="clear" w:color="auto" w:fill="2D53A6"/>
          </w:tcPr>
          <w:p>
            <w:pPr>
              <w:spacing w:after="0"/>
              <w:rPr>
                <w:sz w:val="14"/>
                <w:szCs w:val="14"/>
                <w:color w:val="auto"/>
              </w:rPr>
            </w:pPr>
          </w:p>
        </w:tc>
      </w:tr>
      <w:tr>
        <w:trPr>
          <w:trHeight w:val="162"/>
        </w:trPr>
        <w:tc>
          <w:tcPr>
            <w:tcW w:w="480" w:type="dxa"/>
            <w:vAlign w:val="bottom"/>
            <w:tcBorders>
              <w:left w:val="single" w:sz="8" w:color="2D53A6"/>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spacing w:after="0"/>
              <w:rPr>
                <w:sz w:val="14"/>
                <w:szCs w:val="14"/>
                <w:color w:val="auto"/>
              </w:rPr>
            </w:pPr>
          </w:p>
        </w:tc>
        <w:tc>
          <w:tcPr>
            <w:tcW w:w="1600" w:type="dxa"/>
            <w:vAlign w:val="bottom"/>
            <w:tcBorders>
              <w:right w:val="single" w:sz="8" w:color="2D53A6"/>
            </w:tcBorders>
            <w:shd w:val="clear" w:color="auto" w:fill="2D53A6"/>
          </w:tcPr>
          <w:p>
            <w:pPr>
              <w:spacing w:after="0"/>
              <w:rPr>
                <w:sz w:val="14"/>
                <w:szCs w:val="14"/>
                <w:color w:val="auto"/>
              </w:rPr>
            </w:pPr>
          </w:p>
        </w:tc>
        <w:tc>
          <w:tcPr>
            <w:tcW w:w="1560" w:type="dxa"/>
            <w:vAlign w:val="bottom"/>
            <w:tcBorders>
              <w:right w:val="single" w:sz="8" w:color="2D53A6"/>
            </w:tcBorders>
            <w:shd w:val="clear" w:color="auto" w:fill="2D53A6"/>
          </w:tcPr>
          <w:p>
            <w:pPr>
              <w:spacing w:after="0"/>
              <w:rPr>
                <w:sz w:val="14"/>
                <w:szCs w:val="14"/>
                <w:color w:val="auto"/>
              </w:rPr>
            </w:pP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Year over Year</w:t>
            </w: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End of the Prior</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Paid on Stock</w:t>
            </w:r>
          </w:p>
        </w:tc>
        <w:tc>
          <w:tcPr>
            <w:tcW w:w="1440" w:type="dxa"/>
            <w:vAlign w:val="bottom"/>
            <w:tcBorders>
              <w:right w:val="single" w:sz="8" w:color="2D53A6"/>
            </w:tcBorders>
            <w:shd w:val="clear" w:color="auto" w:fill="2D53A6"/>
          </w:tcPr>
          <w:p>
            <w:pPr>
              <w:spacing w:after="0"/>
              <w:rPr>
                <w:sz w:val="14"/>
                <w:szCs w:val="14"/>
                <w:color w:val="auto"/>
              </w:rPr>
            </w:pPr>
          </w:p>
        </w:tc>
      </w:tr>
      <w:tr>
        <w:trPr>
          <w:trHeight w:val="162"/>
        </w:trPr>
        <w:tc>
          <w:tcPr>
            <w:tcW w:w="480" w:type="dxa"/>
            <w:vAlign w:val="bottom"/>
            <w:tcBorders>
              <w:left w:val="single" w:sz="8" w:color="2D53A6"/>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spacing w:after="0"/>
              <w:rPr>
                <w:sz w:val="14"/>
                <w:szCs w:val="14"/>
                <w:color w:val="auto"/>
              </w:rPr>
            </w:pPr>
          </w:p>
        </w:tc>
        <w:tc>
          <w:tcPr>
            <w:tcW w:w="16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9"/>
              </w:rPr>
              <w:t>Year over Year</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Fair Value as of</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Year of Equity</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or Option</w:t>
            </w:r>
          </w:p>
        </w:tc>
        <w:tc>
          <w:tcPr>
            <w:tcW w:w="1440" w:type="dxa"/>
            <w:vAlign w:val="bottom"/>
            <w:tcBorders>
              <w:right w:val="single" w:sz="8" w:color="2D53A6"/>
            </w:tcBorders>
            <w:shd w:val="clear" w:color="auto" w:fill="2D53A6"/>
          </w:tcPr>
          <w:p>
            <w:pPr>
              <w:spacing w:after="0"/>
              <w:rPr>
                <w:sz w:val="14"/>
                <w:szCs w:val="14"/>
                <w:color w:val="auto"/>
              </w:rPr>
            </w:pPr>
          </w:p>
        </w:tc>
      </w:tr>
      <w:tr>
        <w:trPr>
          <w:trHeight w:val="162"/>
        </w:trPr>
        <w:tc>
          <w:tcPr>
            <w:tcW w:w="480" w:type="dxa"/>
            <w:vAlign w:val="bottom"/>
            <w:tcBorders>
              <w:left w:val="single" w:sz="8" w:color="2D53A6"/>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spacing w:after="0"/>
              <w:rPr>
                <w:sz w:val="14"/>
                <w:szCs w:val="14"/>
                <w:color w:val="auto"/>
              </w:rPr>
            </w:pPr>
          </w:p>
        </w:tc>
        <w:tc>
          <w:tcPr>
            <w:tcW w:w="16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Vesting Date of</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Value of Equity</w:t>
            </w: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Awards that</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Awards not</w:t>
            </w:r>
          </w:p>
        </w:tc>
        <w:tc>
          <w:tcPr>
            <w:tcW w:w="1440" w:type="dxa"/>
            <w:vAlign w:val="bottom"/>
            <w:tcBorders>
              <w:right w:val="single" w:sz="8" w:color="2D53A6"/>
            </w:tcBorders>
            <w:shd w:val="clear" w:color="auto" w:fill="2D53A6"/>
          </w:tcPr>
          <w:p>
            <w:pPr>
              <w:spacing w:after="0"/>
              <w:rPr>
                <w:sz w:val="14"/>
                <w:szCs w:val="14"/>
                <w:color w:val="auto"/>
              </w:rPr>
            </w:pPr>
          </w:p>
        </w:tc>
      </w:tr>
      <w:tr>
        <w:trPr>
          <w:trHeight w:val="162"/>
        </w:trPr>
        <w:tc>
          <w:tcPr>
            <w:tcW w:w="480" w:type="dxa"/>
            <w:vAlign w:val="bottom"/>
            <w:tcBorders>
              <w:left w:val="single" w:sz="8" w:color="2D53A6"/>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spacing w:after="0"/>
              <w:rPr>
                <w:sz w:val="14"/>
                <w:szCs w:val="14"/>
                <w:color w:val="auto"/>
              </w:rPr>
            </w:pPr>
          </w:p>
        </w:tc>
        <w:tc>
          <w:tcPr>
            <w:tcW w:w="16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Equity Awards</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Awards Granted</w:t>
            </w: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Failed to Meet</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Otherwise</w:t>
            </w:r>
          </w:p>
        </w:tc>
        <w:tc>
          <w:tcPr>
            <w:tcW w:w="1440" w:type="dxa"/>
            <w:vAlign w:val="bottom"/>
            <w:tcBorders>
              <w:right w:val="single" w:sz="8" w:color="2D53A6"/>
            </w:tcBorders>
            <w:shd w:val="clear" w:color="auto" w:fill="2D53A6"/>
          </w:tcPr>
          <w:p>
            <w:pPr>
              <w:spacing w:after="0"/>
              <w:rPr>
                <w:sz w:val="14"/>
                <w:szCs w:val="14"/>
                <w:color w:val="auto"/>
              </w:rPr>
            </w:pPr>
          </w:p>
        </w:tc>
      </w:tr>
      <w:tr>
        <w:trPr>
          <w:trHeight w:val="162"/>
        </w:trPr>
        <w:tc>
          <w:tcPr>
            <w:tcW w:w="480" w:type="dxa"/>
            <w:vAlign w:val="bottom"/>
            <w:tcBorders>
              <w:left w:val="single" w:sz="8" w:color="2D53A6"/>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Year End Fair</w:t>
            </w:r>
          </w:p>
        </w:tc>
        <w:tc>
          <w:tcPr>
            <w:tcW w:w="16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Outstanding</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Granted and</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in Prior Years</w:t>
            </w: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Vesting</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Reflected in Fair</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9"/>
              </w:rPr>
              <w:t>Total Equity</w:t>
            </w:r>
          </w:p>
        </w:tc>
      </w:tr>
      <w:tr>
        <w:trPr>
          <w:trHeight w:val="162"/>
        </w:trPr>
        <w:tc>
          <w:tcPr>
            <w:tcW w:w="480" w:type="dxa"/>
            <w:vAlign w:val="bottom"/>
            <w:tcBorders>
              <w:left w:val="single" w:sz="8" w:color="2D53A6"/>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Value of Equity</w:t>
            </w:r>
          </w:p>
        </w:tc>
        <w:tc>
          <w:tcPr>
            <w:tcW w:w="16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and Unvested</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Vested in the</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that Vested in</w:t>
            </w: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Conditions in</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9"/>
              </w:rPr>
              <w:t>Value or Total</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Award</w:t>
            </w:r>
          </w:p>
        </w:tc>
      </w:tr>
      <w:tr>
        <w:trPr>
          <w:trHeight w:val="171"/>
        </w:trPr>
        <w:tc>
          <w:tcPr>
            <w:tcW w:w="480" w:type="dxa"/>
            <w:vAlign w:val="bottom"/>
            <w:tcBorders>
              <w:left w:val="single" w:sz="8" w:color="2D53A6"/>
              <w:right w:val="single" w:sz="8" w:color="2D53A6"/>
            </w:tcBorders>
            <w:shd w:val="clear" w:color="auto" w:fill="2D53A6"/>
          </w:tcPr>
          <w:p>
            <w:pPr>
              <w:ind w:left="80"/>
              <w:spacing w:after="0"/>
              <w:rPr>
                <w:sz w:val="20"/>
                <w:szCs w:val="20"/>
                <w:color w:val="auto"/>
              </w:rPr>
            </w:pPr>
            <w:r>
              <w:rPr>
                <w:rFonts w:ascii="Arial" w:cs="Arial" w:eastAsia="Arial" w:hAnsi="Arial"/>
                <w:sz w:val="14"/>
                <w:szCs w:val="14"/>
                <w:b w:val="1"/>
                <w:bCs w:val="1"/>
                <w:color w:val="FFFFFF"/>
              </w:rPr>
              <w:t>Year</w:t>
            </w: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Awards</w:t>
            </w:r>
          </w:p>
        </w:tc>
        <w:tc>
          <w:tcPr>
            <w:tcW w:w="16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Equity Awards</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Year</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the Year</w:t>
            </w: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the Year</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Compensation</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Adjustments</w:t>
            </w:r>
          </w:p>
        </w:tc>
      </w:tr>
      <w:tr>
        <w:trPr>
          <w:trHeight w:val="162"/>
        </w:trPr>
        <w:tc>
          <w:tcPr>
            <w:tcW w:w="480" w:type="dxa"/>
            <w:vAlign w:val="bottom"/>
            <w:tcBorders>
              <w:left w:val="single" w:sz="8" w:color="2D53A6"/>
              <w:right w:val="single" w:sz="8" w:color="2D53A6"/>
            </w:tcBorders>
            <w:shd w:val="clear" w:color="auto" w:fill="2D53A6"/>
          </w:tcPr>
          <w:p>
            <w:pPr>
              <w:spacing w:after="0"/>
              <w:rPr>
                <w:sz w:val="14"/>
                <w:szCs w:val="14"/>
                <w:color w:val="auto"/>
              </w:rPr>
            </w:pPr>
          </w:p>
        </w:tc>
        <w:tc>
          <w:tcPr>
            <w:tcW w:w="15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6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3"/>
              </w:rPr>
              <w:t>($)</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5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5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3"/>
              </w:rPr>
              <w:t>($)</w:t>
            </w:r>
          </w:p>
        </w:tc>
        <w:tc>
          <w:tcPr>
            <w:tcW w:w="14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r>
      <w:tr>
        <w:trPr>
          <w:trHeight w:val="162"/>
        </w:trPr>
        <w:tc>
          <w:tcPr>
            <w:tcW w:w="480" w:type="dxa"/>
            <w:vAlign w:val="bottom"/>
            <w:tcBorders>
              <w:left w:val="single" w:sz="8" w:color="2D53A6"/>
              <w:bottom w:val="single" w:sz="8" w:color="2D53A6"/>
              <w:right w:val="single" w:sz="8" w:color="2D53A6"/>
            </w:tcBorders>
          </w:tcPr>
          <w:p>
            <w:pPr>
              <w:ind w:left="80"/>
              <w:spacing w:after="0"/>
              <w:rPr>
                <w:sz w:val="20"/>
                <w:szCs w:val="20"/>
                <w:color w:val="auto"/>
              </w:rPr>
            </w:pPr>
            <w:r>
              <w:rPr>
                <w:rFonts w:ascii="Arial" w:cs="Arial" w:eastAsia="Arial" w:hAnsi="Arial"/>
                <w:sz w:val="14"/>
                <w:szCs w:val="14"/>
                <w:color w:val="auto"/>
              </w:rPr>
              <w:t>2024</w:t>
            </w:r>
          </w:p>
        </w:tc>
        <w:tc>
          <w:tcPr>
            <w:tcW w:w="1500" w:type="dxa"/>
            <w:vAlign w:val="bottom"/>
            <w:tcBorders>
              <w:bottom w:val="single" w:sz="8" w:color="2D53A6"/>
              <w:right w:val="single" w:sz="8" w:color="2D53A6"/>
            </w:tcBorders>
          </w:tcPr>
          <w:p>
            <w:pPr>
              <w:jc w:val="right"/>
              <w:ind w:right="68"/>
              <w:spacing w:after="0"/>
              <w:rPr>
                <w:sz w:val="20"/>
                <w:szCs w:val="20"/>
                <w:color w:val="auto"/>
              </w:rPr>
            </w:pPr>
            <w:r>
              <w:rPr>
                <w:rFonts w:ascii="Arial" w:cs="Arial" w:eastAsia="Arial" w:hAnsi="Arial"/>
                <w:sz w:val="14"/>
                <w:szCs w:val="14"/>
                <w:color w:val="auto"/>
              </w:rPr>
              <w:t>2,376,980</w:t>
            </w:r>
          </w:p>
        </w:tc>
        <w:tc>
          <w:tcPr>
            <w:tcW w:w="1600" w:type="dxa"/>
            <w:vAlign w:val="bottom"/>
            <w:tcBorders>
              <w:bottom w:val="single" w:sz="8" w:color="2D53A6"/>
              <w:right w:val="single" w:sz="8" w:color="2D53A6"/>
            </w:tcBorders>
          </w:tcPr>
          <w:p>
            <w:pPr>
              <w:jc w:val="right"/>
              <w:ind w:right="8"/>
              <w:spacing w:after="0"/>
              <w:rPr>
                <w:sz w:val="20"/>
                <w:szCs w:val="20"/>
                <w:color w:val="auto"/>
              </w:rPr>
            </w:pPr>
            <w:r>
              <w:rPr>
                <w:rFonts w:ascii="Arial" w:cs="Arial" w:eastAsia="Arial" w:hAnsi="Arial"/>
                <w:sz w:val="14"/>
                <w:szCs w:val="14"/>
                <w:color w:val="auto"/>
              </w:rPr>
              <w:t>(4,371,968)</w:t>
            </w:r>
          </w:p>
        </w:tc>
        <w:tc>
          <w:tcPr>
            <w:tcW w:w="156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4"/>
                <w:szCs w:val="14"/>
                <w:color w:val="auto"/>
              </w:rPr>
              <w:t>(202,315)</w:t>
            </w:r>
          </w:p>
        </w:tc>
        <w:tc>
          <w:tcPr>
            <w:tcW w:w="154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4"/>
                <w:szCs w:val="14"/>
                <w:color w:val="auto"/>
              </w:rPr>
              <w:t>(2,197,303)</w:t>
            </w:r>
          </w:p>
        </w:tc>
      </w:tr>
      <w:tr>
        <w:trPr>
          <w:trHeight w:val="156"/>
        </w:trPr>
        <w:tc>
          <w:tcPr>
            <w:tcW w:w="480" w:type="dxa"/>
            <w:vAlign w:val="bottom"/>
            <w:tcBorders>
              <w:left w:val="single" w:sz="8" w:color="2D53A6"/>
              <w:bottom w:val="single" w:sz="8" w:color="2D53A6"/>
              <w:right w:val="single" w:sz="8" w:color="2D53A6"/>
            </w:tcBorders>
            <w:shd w:val="clear" w:color="auto" w:fill="E6E6E6"/>
          </w:tcPr>
          <w:p>
            <w:pPr>
              <w:ind w:left="80"/>
              <w:spacing w:after="0" w:line="155" w:lineRule="exact"/>
              <w:rPr>
                <w:sz w:val="20"/>
                <w:szCs w:val="20"/>
                <w:color w:val="auto"/>
              </w:rPr>
            </w:pPr>
            <w:r>
              <w:rPr>
                <w:rFonts w:ascii="Arial" w:cs="Arial" w:eastAsia="Arial" w:hAnsi="Arial"/>
                <w:sz w:val="14"/>
                <w:szCs w:val="14"/>
                <w:color w:val="auto"/>
              </w:rPr>
              <w:t>2023</w:t>
            </w:r>
          </w:p>
        </w:tc>
        <w:tc>
          <w:tcPr>
            <w:tcW w:w="1500" w:type="dxa"/>
            <w:vAlign w:val="bottom"/>
            <w:tcBorders>
              <w:bottom w:val="single" w:sz="8" w:color="2D53A6"/>
              <w:right w:val="single" w:sz="8" w:color="2D53A6"/>
            </w:tcBorders>
            <w:shd w:val="clear" w:color="auto" w:fill="E6E6E6"/>
          </w:tcPr>
          <w:p>
            <w:pPr>
              <w:jc w:val="right"/>
              <w:ind w:right="68"/>
              <w:spacing w:after="0" w:line="155" w:lineRule="exact"/>
              <w:rPr>
                <w:sz w:val="20"/>
                <w:szCs w:val="20"/>
                <w:color w:val="auto"/>
              </w:rPr>
            </w:pPr>
            <w:r>
              <w:rPr>
                <w:rFonts w:ascii="Arial" w:cs="Arial" w:eastAsia="Arial" w:hAnsi="Arial"/>
                <w:sz w:val="14"/>
                <w:szCs w:val="14"/>
                <w:color w:val="auto"/>
              </w:rPr>
              <w:t>1,557,302</w:t>
            </w:r>
          </w:p>
        </w:tc>
        <w:tc>
          <w:tcPr>
            <w:tcW w:w="1600" w:type="dxa"/>
            <w:vAlign w:val="bottom"/>
            <w:tcBorders>
              <w:bottom w:val="single" w:sz="8" w:color="2D53A6"/>
              <w:right w:val="single" w:sz="8" w:color="2D53A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252,541</w:t>
            </w:r>
          </w:p>
        </w:tc>
        <w:tc>
          <w:tcPr>
            <w:tcW w:w="156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2D53A6"/>
              <w:right w:val="single" w:sz="8" w:color="2D53A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284,437</w:t>
            </w:r>
          </w:p>
        </w:tc>
        <w:tc>
          <w:tcPr>
            <w:tcW w:w="154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2D53A6"/>
              <w:right w:val="single" w:sz="8" w:color="2D53A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2,094,280</w:t>
            </w:r>
          </w:p>
        </w:tc>
      </w:tr>
      <w:tr>
        <w:trPr>
          <w:trHeight w:val="155"/>
        </w:trPr>
        <w:tc>
          <w:tcPr>
            <w:tcW w:w="480" w:type="dxa"/>
            <w:vAlign w:val="bottom"/>
            <w:tcBorders>
              <w:left w:val="single" w:sz="8" w:color="2D53A6"/>
              <w:bottom w:val="single" w:sz="8" w:color="2D53A6"/>
              <w:right w:val="single" w:sz="8" w:color="2D53A6"/>
            </w:tcBorders>
          </w:tcPr>
          <w:p>
            <w:pPr>
              <w:ind w:left="80"/>
              <w:spacing w:after="0" w:line="155" w:lineRule="exact"/>
              <w:rPr>
                <w:sz w:val="20"/>
                <w:szCs w:val="20"/>
                <w:color w:val="auto"/>
              </w:rPr>
            </w:pPr>
            <w:r>
              <w:rPr>
                <w:rFonts w:ascii="Arial" w:cs="Arial" w:eastAsia="Arial" w:hAnsi="Arial"/>
                <w:sz w:val="14"/>
                <w:szCs w:val="14"/>
                <w:color w:val="auto"/>
              </w:rPr>
              <w:t>2022</w:t>
            </w:r>
          </w:p>
        </w:tc>
        <w:tc>
          <w:tcPr>
            <w:tcW w:w="1500" w:type="dxa"/>
            <w:vAlign w:val="bottom"/>
            <w:tcBorders>
              <w:bottom w:val="single" w:sz="8" w:color="2D53A6"/>
              <w:right w:val="single" w:sz="8" w:color="2D53A6"/>
            </w:tcBorders>
          </w:tcPr>
          <w:p>
            <w:pPr>
              <w:jc w:val="right"/>
              <w:ind w:right="68"/>
              <w:spacing w:after="0" w:line="155" w:lineRule="exact"/>
              <w:rPr>
                <w:sz w:val="20"/>
                <w:szCs w:val="20"/>
                <w:color w:val="auto"/>
              </w:rPr>
            </w:pPr>
            <w:r>
              <w:rPr>
                <w:rFonts w:ascii="Arial" w:cs="Arial" w:eastAsia="Arial" w:hAnsi="Arial"/>
                <w:sz w:val="14"/>
                <w:szCs w:val="14"/>
                <w:color w:val="auto"/>
              </w:rPr>
              <w:t>4,186,241</w:t>
            </w:r>
          </w:p>
        </w:tc>
        <w:tc>
          <w:tcPr>
            <w:tcW w:w="1600" w:type="dxa"/>
            <w:vAlign w:val="bottom"/>
            <w:tcBorders>
              <w:bottom w:val="single" w:sz="8" w:color="2D53A6"/>
              <w:right w:val="single" w:sz="8" w:color="2D53A6"/>
            </w:tcBorders>
          </w:tcPr>
          <w:p>
            <w:pPr>
              <w:jc w:val="right"/>
              <w:ind w:right="8"/>
              <w:spacing w:after="0" w:line="155" w:lineRule="exact"/>
              <w:rPr>
                <w:sz w:val="20"/>
                <w:szCs w:val="20"/>
                <w:color w:val="auto"/>
              </w:rPr>
            </w:pPr>
            <w:r>
              <w:rPr>
                <w:rFonts w:ascii="Arial" w:cs="Arial" w:eastAsia="Arial" w:hAnsi="Arial"/>
                <w:sz w:val="14"/>
                <w:szCs w:val="14"/>
                <w:color w:val="auto"/>
              </w:rPr>
              <w:t>(287,392)</w:t>
            </w:r>
          </w:p>
        </w:tc>
        <w:tc>
          <w:tcPr>
            <w:tcW w:w="156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2D53A6"/>
              <w:right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63,290</w:t>
            </w:r>
          </w:p>
        </w:tc>
        <w:tc>
          <w:tcPr>
            <w:tcW w:w="1540" w:type="dxa"/>
            <w:vAlign w:val="bottom"/>
            <w:tcBorders>
              <w:bottom w:val="single" w:sz="8" w:color="2D53A6"/>
              <w:right w:val="single" w:sz="8" w:color="2D53A6"/>
            </w:tcBorders>
          </w:tcPr>
          <w:p>
            <w:pPr>
              <w:jc w:val="right"/>
              <w:spacing w:after="0" w:line="155" w:lineRule="exact"/>
              <w:rPr>
                <w:sz w:val="20"/>
                <w:szCs w:val="20"/>
                <w:color w:val="auto"/>
              </w:rPr>
            </w:pPr>
            <w:r>
              <w:rPr>
                <w:rFonts w:ascii="Arial" w:cs="Arial" w:eastAsia="Arial" w:hAnsi="Arial"/>
                <w:sz w:val="14"/>
                <w:szCs w:val="14"/>
                <w:color w:val="auto"/>
              </w:rPr>
              <w:t>(549,262)</w:t>
            </w:r>
          </w:p>
        </w:tc>
        <w:tc>
          <w:tcPr>
            <w:tcW w:w="1560" w:type="dxa"/>
            <w:vAlign w:val="bottom"/>
            <w:tcBorders>
              <w:bottom w:val="single" w:sz="8" w:color="2D53A6"/>
              <w:right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3,412,877</w:t>
            </w:r>
          </w:p>
        </w:tc>
      </w:tr>
      <w:tr>
        <w:trPr>
          <w:trHeight w:val="155"/>
        </w:trPr>
        <w:tc>
          <w:tcPr>
            <w:tcW w:w="480" w:type="dxa"/>
            <w:vAlign w:val="bottom"/>
            <w:tcBorders>
              <w:left w:val="single" w:sz="8" w:color="2D53A6"/>
              <w:bottom w:val="single" w:sz="8" w:color="2D53A6"/>
              <w:right w:val="single" w:sz="8" w:color="2D53A6"/>
            </w:tcBorders>
            <w:shd w:val="clear" w:color="auto" w:fill="E6E6E6"/>
          </w:tcPr>
          <w:p>
            <w:pPr>
              <w:ind w:left="80"/>
              <w:spacing w:after="0" w:line="155" w:lineRule="exact"/>
              <w:rPr>
                <w:sz w:val="20"/>
                <w:szCs w:val="20"/>
                <w:color w:val="auto"/>
              </w:rPr>
            </w:pPr>
            <w:r>
              <w:rPr>
                <w:rFonts w:ascii="Arial" w:cs="Arial" w:eastAsia="Arial" w:hAnsi="Arial"/>
                <w:sz w:val="14"/>
                <w:szCs w:val="14"/>
                <w:color w:val="auto"/>
              </w:rPr>
              <w:t>2021</w:t>
            </w:r>
          </w:p>
        </w:tc>
        <w:tc>
          <w:tcPr>
            <w:tcW w:w="1500" w:type="dxa"/>
            <w:vAlign w:val="bottom"/>
            <w:tcBorders>
              <w:bottom w:val="single" w:sz="8" w:color="2D53A6"/>
              <w:right w:val="single" w:sz="8" w:color="2D53A6"/>
            </w:tcBorders>
            <w:shd w:val="clear" w:color="auto" w:fill="E6E6E6"/>
          </w:tcPr>
          <w:p>
            <w:pPr>
              <w:jc w:val="right"/>
              <w:ind w:right="68"/>
              <w:spacing w:after="0" w:line="155" w:lineRule="exact"/>
              <w:rPr>
                <w:sz w:val="20"/>
                <w:szCs w:val="20"/>
                <w:color w:val="auto"/>
              </w:rPr>
            </w:pPr>
            <w:r>
              <w:rPr>
                <w:rFonts w:ascii="Arial" w:cs="Arial" w:eastAsia="Arial" w:hAnsi="Arial"/>
                <w:sz w:val="14"/>
                <w:szCs w:val="14"/>
                <w:color w:val="auto"/>
              </w:rPr>
              <w:t>2,406,454</w:t>
            </w:r>
          </w:p>
        </w:tc>
        <w:tc>
          <w:tcPr>
            <w:tcW w:w="1600" w:type="dxa"/>
            <w:vAlign w:val="bottom"/>
            <w:tcBorders>
              <w:bottom w:val="single" w:sz="8" w:color="2D53A6"/>
              <w:right w:val="single" w:sz="8" w:color="2D53A6"/>
            </w:tcBorders>
            <w:shd w:val="clear" w:color="auto" w:fill="E6E6E6"/>
          </w:tcPr>
          <w:p>
            <w:pPr>
              <w:jc w:val="right"/>
              <w:ind w:right="8"/>
              <w:spacing w:after="0" w:line="155" w:lineRule="exact"/>
              <w:rPr>
                <w:sz w:val="20"/>
                <w:szCs w:val="20"/>
                <w:color w:val="auto"/>
              </w:rPr>
            </w:pPr>
            <w:r>
              <w:rPr>
                <w:rFonts w:ascii="Arial" w:cs="Arial" w:eastAsia="Arial" w:hAnsi="Arial"/>
                <w:sz w:val="14"/>
                <w:szCs w:val="14"/>
                <w:color w:val="auto"/>
              </w:rPr>
              <w:t>(3,329,004)</w:t>
            </w:r>
          </w:p>
        </w:tc>
        <w:tc>
          <w:tcPr>
            <w:tcW w:w="156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2D53A6"/>
              <w:right w:val="single" w:sz="8" w:color="2D53A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191,516</w:t>
            </w:r>
          </w:p>
        </w:tc>
        <w:tc>
          <w:tcPr>
            <w:tcW w:w="154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2D53A6"/>
              <w:right w:val="single" w:sz="8" w:color="2D53A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2D53A6"/>
              <w:right w:val="single" w:sz="8" w:color="2D53A6"/>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(731,034)</w:t>
            </w:r>
          </w:p>
        </w:tc>
      </w:tr>
      <w:tr>
        <w:trPr>
          <w:trHeight w:val="155"/>
        </w:trPr>
        <w:tc>
          <w:tcPr>
            <w:tcW w:w="480" w:type="dxa"/>
            <w:vAlign w:val="bottom"/>
            <w:tcBorders>
              <w:left w:val="single" w:sz="8" w:color="2D53A6"/>
              <w:bottom w:val="single" w:sz="8" w:color="2D53A6"/>
              <w:right w:val="single" w:sz="8" w:color="2D53A6"/>
            </w:tcBorders>
          </w:tcPr>
          <w:p>
            <w:pPr>
              <w:ind w:left="80"/>
              <w:spacing w:after="0" w:line="155" w:lineRule="exact"/>
              <w:rPr>
                <w:sz w:val="20"/>
                <w:szCs w:val="20"/>
                <w:color w:val="auto"/>
              </w:rPr>
            </w:pPr>
            <w:r>
              <w:rPr>
                <w:rFonts w:ascii="Arial" w:cs="Arial" w:eastAsia="Arial" w:hAnsi="Arial"/>
                <w:sz w:val="14"/>
                <w:szCs w:val="14"/>
                <w:color w:val="auto"/>
              </w:rPr>
              <w:t>2020</w:t>
            </w:r>
          </w:p>
        </w:tc>
        <w:tc>
          <w:tcPr>
            <w:tcW w:w="1500" w:type="dxa"/>
            <w:vAlign w:val="bottom"/>
            <w:tcBorders>
              <w:bottom w:val="single" w:sz="8" w:color="2D53A6"/>
              <w:right w:val="single" w:sz="8" w:color="2D53A6"/>
            </w:tcBorders>
          </w:tcPr>
          <w:p>
            <w:pPr>
              <w:jc w:val="right"/>
              <w:ind w:right="68"/>
              <w:spacing w:after="0" w:line="155" w:lineRule="exact"/>
              <w:rPr>
                <w:sz w:val="20"/>
                <w:szCs w:val="20"/>
                <w:color w:val="auto"/>
              </w:rPr>
            </w:pPr>
            <w:r>
              <w:rPr>
                <w:rFonts w:ascii="Arial" w:cs="Arial" w:eastAsia="Arial" w:hAnsi="Arial"/>
                <w:sz w:val="14"/>
                <w:szCs w:val="14"/>
                <w:color w:val="auto"/>
              </w:rPr>
              <w:t>7,919,582</w:t>
            </w:r>
          </w:p>
        </w:tc>
        <w:tc>
          <w:tcPr>
            <w:tcW w:w="1600" w:type="dxa"/>
            <w:vAlign w:val="bottom"/>
            <w:tcBorders>
              <w:bottom w:val="single" w:sz="8" w:color="2D53A6"/>
              <w:right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3,665,406</w:t>
            </w:r>
          </w:p>
        </w:tc>
        <w:tc>
          <w:tcPr>
            <w:tcW w:w="156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2D53A6"/>
              <w:right w:val="single" w:sz="8" w:color="2D53A6"/>
            </w:tcBorders>
          </w:tcPr>
          <w:p>
            <w:pPr>
              <w:jc w:val="right"/>
              <w:spacing w:after="0" w:line="155" w:lineRule="exact"/>
              <w:rPr>
                <w:sz w:val="20"/>
                <w:szCs w:val="20"/>
                <w:color w:val="auto"/>
              </w:rPr>
            </w:pPr>
            <w:r>
              <w:rPr>
                <w:rFonts w:ascii="Arial" w:cs="Arial" w:eastAsia="Arial" w:hAnsi="Arial"/>
                <w:sz w:val="14"/>
                <w:szCs w:val="14"/>
                <w:color w:val="auto"/>
              </w:rPr>
              <w:t>(473,527)</w:t>
            </w:r>
          </w:p>
        </w:tc>
        <w:tc>
          <w:tcPr>
            <w:tcW w:w="1540" w:type="dxa"/>
            <w:vAlign w:val="bottom"/>
            <w:tcBorders>
              <w:bottom w:val="single" w:sz="8" w:color="2D53A6"/>
              <w:right w:val="single" w:sz="8" w:color="2D53A6"/>
            </w:tcBorders>
          </w:tcPr>
          <w:p>
            <w:pPr>
              <w:jc w:val="right"/>
              <w:spacing w:after="0" w:line="155" w:lineRule="exact"/>
              <w:rPr>
                <w:sz w:val="20"/>
                <w:szCs w:val="20"/>
                <w:color w:val="auto"/>
              </w:rPr>
            </w:pPr>
            <w:r>
              <w:rPr>
                <w:rFonts w:ascii="Arial" w:cs="Arial" w:eastAsia="Arial" w:hAnsi="Arial"/>
                <w:sz w:val="14"/>
                <w:szCs w:val="14"/>
                <w:color w:val="auto"/>
              </w:rPr>
              <w:t>(191,059)</w:t>
            </w:r>
          </w:p>
        </w:tc>
        <w:tc>
          <w:tcPr>
            <w:tcW w:w="1560" w:type="dxa"/>
            <w:vAlign w:val="bottom"/>
            <w:tcBorders>
              <w:bottom w:val="single" w:sz="8" w:color="2D53A6"/>
              <w:right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10,920,402</w:t>
            </w: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Average Other NEOs SCT Total to CAP Reconciliation</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480" w:type="dxa"/>
            <w:vAlign w:val="bottom"/>
            <w:tcBorders>
              <w:left w:val="single" w:sz="8" w:color="2D53A6"/>
              <w:right w:val="single" w:sz="8" w:color="2D53A6"/>
            </w:tcBorders>
            <w:shd w:val="clear" w:color="auto" w:fill="2D53A6"/>
          </w:tcPr>
          <w:p>
            <w:pPr>
              <w:spacing w:after="0"/>
              <w:rPr>
                <w:sz w:val="14"/>
                <w:szCs w:val="14"/>
                <w:color w:val="auto"/>
              </w:rPr>
            </w:pP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Average Reported</w:t>
            </w:r>
          </w:p>
        </w:tc>
        <w:tc>
          <w:tcPr>
            <w:tcW w:w="1820" w:type="dxa"/>
            <w:vAlign w:val="bottom"/>
            <w:tcBorders>
              <w:right w:val="single" w:sz="8" w:color="2D53A6"/>
            </w:tcBorders>
            <w:shd w:val="clear" w:color="auto" w:fill="2D53A6"/>
          </w:tcPr>
          <w:p>
            <w:pPr>
              <w:spacing w:after="0"/>
              <w:rPr>
                <w:sz w:val="14"/>
                <w:szCs w:val="14"/>
                <w:color w:val="auto"/>
              </w:rPr>
            </w:pPr>
          </w:p>
        </w:tc>
        <w:tc>
          <w:tcPr>
            <w:tcW w:w="1780" w:type="dxa"/>
            <w:vAlign w:val="bottom"/>
            <w:tcBorders>
              <w:right w:val="single" w:sz="8" w:color="2D53A6"/>
            </w:tcBorders>
            <w:shd w:val="clear" w:color="auto" w:fill="2D53A6"/>
          </w:tcPr>
          <w:p>
            <w:pPr>
              <w:spacing w:after="0"/>
              <w:rPr>
                <w:sz w:val="14"/>
                <w:szCs w:val="14"/>
                <w:color w:val="auto"/>
              </w:rPr>
            </w:pP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Average Reported</w:t>
            </w:r>
          </w:p>
        </w:tc>
        <w:tc>
          <w:tcPr>
            <w:tcW w:w="1780" w:type="dxa"/>
            <w:vAlign w:val="bottom"/>
            <w:tcBorders>
              <w:right w:val="single" w:sz="8" w:color="2D53A6"/>
            </w:tcBorders>
            <w:shd w:val="clear" w:color="auto" w:fill="2D53A6"/>
          </w:tcPr>
          <w:p>
            <w:pPr>
              <w:spacing w:after="0"/>
              <w:rPr>
                <w:sz w:val="14"/>
                <w:szCs w:val="14"/>
                <w:color w:val="auto"/>
              </w:rPr>
            </w:pPr>
          </w:p>
        </w:tc>
        <w:tc>
          <w:tcPr>
            <w:tcW w:w="1780" w:type="dxa"/>
            <w:vAlign w:val="bottom"/>
            <w:tcBorders>
              <w:right w:val="single" w:sz="8" w:color="2D53A6"/>
            </w:tcBorders>
            <w:shd w:val="clear" w:color="auto" w:fill="2D53A6"/>
          </w:tcPr>
          <w:p>
            <w:pPr>
              <w:spacing w:after="0"/>
              <w:rPr>
                <w:sz w:val="14"/>
                <w:szCs w:val="14"/>
                <w:color w:val="auto"/>
              </w:rPr>
            </w:pPr>
          </w:p>
        </w:tc>
      </w:tr>
      <w:tr>
        <w:trPr>
          <w:trHeight w:val="162"/>
        </w:trPr>
        <w:tc>
          <w:tcPr>
            <w:tcW w:w="480" w:type="dxa"/>
            <w:vAlign w:val="bottom"/>
            <w:tcBorders>
              <w:left w:val="single" w:sz="8" w:color="2D53A6"/>
              <w:right w:val="single" w:sz="8" w:color="2D53A6"/>
            </w:tcBorders>
            <w:shd w:val="clear" w:color="auto" w:fill="2D53A6"/>
          </w:tcPr>
          <w:p>
            <w:pPr>
              <w:spacing w:after="0"/>
              <w:rPr>
                <w:sz w:val="14"/>
                <w:szCs w:val="14"/>
                <w:color w:val="auto"/>
              </w:rPr>
            </w:pP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Summary</w:t>
            </w:r>
          </w:p>
        </w:tc>
        <w:tc>
          <w:tcPr>
            <w:tcW w:w="1820" w:type="dxa"/>
            <w:vAlign w:val="bottom"/>
            <w:tcBorders>
              <w:right w:val="single" w:sz="8" w:color="2D53A6"/>
            </w:tcBorders>
            <w:shd w:val="clear" w:color="auto" w:fill="2D53A6"/>
          </w:tcPr>
          <w:p>
            <w:pPr>
              <w:spacing w:after="0"/>
              <w:rPr>
                <w:sz w:val="14"/>
                <w:szCs w:val="14"/>
                <w:color w:val="auto"/>
              </w:rPr>
            </w:pPr>
          </w:p>
        </w:tc>
        <w:tc>
          <w:tcPr>
            <w:tcW w:w="1780" w:type="dxa"/>
            <w:vAlign w:val="bottom"/>
            <w:tcBorders>
              <w:right w:val="single" w:sz="8" w:color="2D53A6"/>
            </w:tcBorders>
            <w:shd w:val="clear" w:color="auto" w:fill="2D53A6"/>
          </w:tcPr>
          <w:p>
            <w:pPr>
              <w:spacing w:after="0"/>
              <w:rPr>
                <w:sz w:val="14"/>
                <w:szCs w:val="14"/>
                <w:color w:val="auto"/>
              </w:rPr>
            </w:pP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Change in the</w:t>
            </w:r>
          </w:p>
        </w:tc>
        <w:tc>
          <w:tcPr>
            <w:tcW w:w="1780" w:type="dxa"/>
            <w:vAlign w:val="bottom"/>
            <w:tcBorders>
              <w:right w:val="single" w:sz="8" w:color="2D53A6"/>
            </w:tcBorders>
            <w:shd w:val="clear" w:color="auto" w:fill="2D53A6"/>
          </w:tcPr>
          <w:p>
            <w:pPr>
              <w:spacing w:after="0"/>
              <w:rPr>
                <w:sz w:val="14"/>
                <w:szCs w:val="14"/>
                <w:color w:val="auto"/>
              </w:rPr>
            </w:pPr>
          </w:p>
        </w:tc>
        <w:tc>
          <w:tcPr>
            <w:tcW w:w="1780" w:type="dxa"/>
            <w:vAlign w:val="bottom"/>
            <w:tcBorders>
              <w:right w:val="single" w:sz="8" w:color="2D53A6"/>
            </w:tcBorders>
            <w:shd w:val="clear" w:color="auto" w:fill="2D53A6"/>
          </w:tcPr>
          <w:p>
            <w:pPr>
              <w:spacing w:after="0"/>
              <w:rPr>
                <w:sz w:val="14"/>
                <w:szCs w:val="14"/>
                <w:color w:val="auto"/>
              </w:rPr>
            </w:pPr>
          </w:p>
        </w:tc>
      </w:tr>
      <w:tr>
        <w:trPr>
          <w:trHeight w:val="162"/>
        </w:trPr>
        <w:tc>
          <w:tcPr>
            <w:tcW w:w="480" w:type="dxa"/>
            <w:vAlign w:val="bottom"/>
            <w:tcBorders>
              <w:left w:val="single" w:sz="8" w:color="2D53A6"/>
              <w:right w:val="single" w:sz="8" w:color="2D53A6"/>
            </w:tcBorders>
            <w:shd w:val="clear" w:color="auto" w:fill="2D53A6"/>
          </w:tcPr>
          <w:p>
            <w:pPr>
              <w:spacing w:after="0"/>
              <w:rPr>
                <w:sz w:val="14"/>
                <w:szCs w:val="14"/>
                <w:color w:val="auto"/>
              </w:rPr>
            </w:pP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Compensation</w:t>
            </w: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Average Reported</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Average Equity</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Actuarial Present</w:t>
            </w:r>
          </w:p>
        </w:tc>
        <w:tc>
          <w:tcPr>
            <w:tcW w:w="1780" w:type="dxa"/>
            <w:vAlign w:val="bottom"/>
            <w:tcBorders>
              <w:right w:val="single" w:sz="8" w:color="2D53A6"/>
            </w:tcBorders>
            <w:shd w:val="clear" w:color="auto" w:fill="2D53A6"/>
          </w:tcPr>
          <w:p>
            <w:pPr>
              <w:spacing w:after="0"/>
              <w:rPr>
                <w:sz w:val="14"/>
                <w:szCs w:val="14"/>
                <w:color w:val="auto"/>
              </w:rPr>
            </w:pPr>
          </w:p>
        </w:tc>
        <w:tc>
          <w:tcPr>
            <w:tcW w:w="1780" w:type="dxa"/>
            <w:vAlign w:val="bottom"/>
            <w:tcBorders>
              <w:right w:val="single" w:sz="8" w:color="2D53A6"/>
            </w:tcBorders>
            <w:shd w:val="clear" w:color="auto" w:fill="2D53A6"/>
          </w:tcPr>
          <w:p>
            <w:pPr>
              <w:spacing w:after="0"/>
              <w:rPr>
                <w:sz w:val="14"/>
                <w:szCs w:val="14"/>
                <w:color w:val="auto"/>
              </w:rPr>
            </w:pPr>
          </w:p>
        </w:tc>
      </w:tr>
      <w:tr>
        <w:trPr>
          <w:trHeight w:val="159"/>
        </w:trPr>
        <w:tc>
          <w:tcPr>
            <w:tcW w:w="480" w:type="dxa"/>
            <w:vAlign w:val="bottom"/>
            <w:tcBorders>
              <w:left w:val="single" w:sz="8" w:color="2D53A6"/>
              <w:right w:val="single" w:sz="8" w:color="2D53A6"/>
            </w:tcBorders>
            <w:shd w:val="clear" w:color="auto" w:fill="2D53A6"/>
          </w:tcPr>
          <w:p>
            <w:pPr>
              <w:spacing w:after="0"/>
              <w:rPr>
                <w:sz w:val="13"/>
                <w:szCs w:val="13"/>
                <w:color w:val="auto"/>
              </w:rPr>
            </w:pPr>
          </w:p>
        </w:tc>
        <w:tc>
          <w:tcPr>
            <w:tcW w:w="182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w w:val="99"/>
              </w:rPr>
              <w:t>Table Total for</w:t>
            </w:r>
          </w:p>
        </w:tc>
        <w:tc>
          <w:tcPr>
            <w:tcW w:w="182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Value of Equity</w:t>
            </w:r>
          </w:p>
        </w:tc>
        <w:tc>
          <w:tcPr>
            <w:tcW w:w="178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Award</w:t>
            </w:r>
          </w:p>
        </w:tc>
        <w:tc>
          <w:tcPr>
            <w:tcW w:w="178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Value of Pension</w:t>
            </w:r>
          </w:p>
        </w:tc>
        <w:tc>
          <w:tcPr>
            <w:tcW w:w="178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Average Pension</w:t>
            </w:r>
          </w:p>
        </w:tc>
        <w:tc>
          <w:tcPr>
            <w:tcW w:w="1780" w:type="dxa"/>
            <w:vAlign w:val="bottom"/>
            <w:tcBorders>
              <w:right w:val="single" w:sz="8" w:color="2D53A6"/>
            </w:tcBorders>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Average CAP to</w:t>
            </w:r>
          </w:p>
        </w:tc>
      </w:tr>
      <w:tr>
        <w:trPr>
          <w:trHeight w:val="174"/>
        </w:trPr>
        <w:tc>
          <w:tcPr>
            <w:tcW w:w="480" w:type="dxa"/>
            <w:vAlign w:val="bottom"/>
            <w:tcBorders>
              <w:left w:val="single" w:sz="8" w:color="2D53A6"/>
              <w:right w:val="single" w:sz="8" w:color="2D53A6"/>
            </w:tcBorders>
            <w:shd w:val="clear" w:color="auto" w:fill="2D53A6"/>
          </w:tcPr>
          <w:p>
            <w:pPr>
              <w:ind w:left="80"/>
              <w:spacing w:after="0"/>
              <w:rPr>
                <w:sz w:val="20"/>
                <w:szCs w:val="20"/>
                <w:color w:val="auto"/>
              </w:rPr>
            </w:pPr>
            <w:r>
              <w:rPr>
                <w:rFonts w:ascii="Arial" w:cs="Arial" w:eastAsia="Arial" w:hAnsi="Arial"/>
                <w:sz w:val="14"/>
                <w:szCs w:val="14"/>
                <w:b w:val="1"/>
                <w:bCs w:val="1"/>
                <w:color w:val="FFFFFF"/>
              </w:rPr>
              <w:t>Year</w:t>
            </w: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Other NEOs</w:t>
            </w: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Awards</w:t>
            </w:r>
          </w:p>
        </w:tc>
        <w:tc>
          <w:tcPr>
            <w:tcW w:w="1780" w:type="dxa"/>
            <w:vAlign w:val="bottom"/>
            <w:tcBorders>
              <w:right w:val="single" w:sz="8" w:color="2D53A6"/>
            </w:tcBorders>
            <w:shd w:val="clear" w:color="auto" w:fill="2D53A6"/>
          </w:tcPr>
          <w:p>
            <w:pPr>
              <w:jc w:val="center"/>
              <w:spacing w:after="0" w:line="175" w:lineRule="exact"/>
              <w:rPr>
                <w:sz w:val="20"/>
                <w:szCs w:val="20"/>
                <w:color w:val="auto"/>
              </w:rPr>
            </w:pPr>
            <w:r>
              <w:rPr>
                <w:rFonts w:ascii="Arial" w:cs="Arial" w:eastAsia="Arial" w:hAnsi="Arial"/>
                <w:sz w:val="13"/>
                <w:szCs w:val="13"/>
                <w:b w:val="1"/>
                <w:bCs w:val="1"/>
                <w:color w:val="FFFFFF"/>
              </w:rPr>
              <w:t xml:space="preserve">Adjustments </w:t>
            </w:r>
            <w:r>
              <w:rPr>
                <w:rFonts w:ascii="Arial" w:cs="Arial" w:eastAsia="Arial" w:hAnsi="Arial"/>
                <w:sz w:val="20"/>
                <w:szCs w:val="20"/>
                <w:b w:val="1"/>
                <w:bCs w:val="1"/>
                <w:color w:val="FFFFFF"/>
                <w:vertAlign w:val="superscript"/>
              </w:rPr>
              <w:t>(1)</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Benefits</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Benefits</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Other NEOs</w:t>
            </w:r>
          </w:p>
        </w:tc>
      </w:tr>
      <w:tr>
        <w:trPr>
          <w:trHeight w:val="162"/>
        </w:trPr>
        <w:tc>
          <w:tcPr>
            <w:tcW w:w="480" w:type="dxa"/>
            <w:vAlign w:val="bottom"/>
            <w:tcBorders>
              <w:left w:val="single" w:sz="8" w:color="2D53A6"/>
              <w:right w:val="single" w:sz="8" w:color="2D53A6"/>
            </w:tcBorders>
            <w:shd w:val="clear" w:color="auto" w:fill="2D53A6"/>
          </w:tcPr>
          <w:p>
            <w:pPr>
              <w:spacing w:after="0"/>
              <w:rPr>
                <w:sz w:val="14"/>
                <w:szCs w:val="14"/>
                <w:color w:val="auto"/>
              </w:rPr>
            </w:pP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r>
      <w:tr>
        <w:trPr>
          <w:trHeight w:val="162"/>
        </w:trPr>
        <w:tc>
          <w:tcPr>
            <w:tcW w:w="480" w:type="dxa"/>
            <w:vAlign w:val="bottom"/>
            <w:tcBorders>
              <w:bottom w:val="single" w:sz="8" w:color="0033A0"/>
            </w:tcBorders>
          </w:tcPr>
          <w:p>
            <w:pPr>
              <w:ind w:left="80"/>
              <w:spacing w:after="0"/>
              <w:rPr>
                <w:sz w:val="20"/>
                <w:szCs w:val="20"/>
                <w:color w:val="auto"/>
              </w:rPr>
            </w:pPr>
            <w:r>
              <w:rPr>
                <w:rFonts w:ascii="Arial" w:cs="Arial" w:eastAsia="Arial" w:hAnsi="Arial"/>
                <w:sz w:val="14"/>
                <w:szCs w:val="14"/>
                <w:color w:val="auto"/>
              </w:rPr>
              <w:t>2024</w:t>
            </w:r>
          </w:p>
        </w:tc>
        <w:tc>
          <w:tcPr>
            <w:tcW w:w="1820" w:type="dxa"/>
            <w:vAlign w:val="bottom"/>
            <w:tcBorders>
              <w:bottom w:val="single" w:sz="8" w:color="0033A0"/>
            </w:tcBorders>
          </w:tcPr>
          <w:p>
            <w:pPr>
              <w:jc w:val="right"/>
              <w:ind w:right="48"/>
              <w:spacing w:after="0"/>
              <w:rPr>
                <w:sz w:val="20"/>
                <w:szCs w:val="20"/>
                <w:color w:val="auto"/>
              </w:rPr>
            </w:pPr>
            <w:r>
              <w:rPr>
                <w:rFonts w:ascii="Arial" w:cs="Arial" w:eastAsia="Arial" w:hAnsi="Arial"/>
                <w:sz w:val="14"/>
                <w:szCs w:val="14"/>
                <w:color w:val="auto"/>
              </w:rPr>
              <w:t>1,286,156</w:t>
            </w:r>
          </w:p>
        </w:tc>
        <w:tc>
          <w:tcPr>
            <w:tcW w:w="1820" w:type="dxa"/>
            <w:vAlign w:val="bottom"/>
            <w:tcBorders>
              <w:bottom w:val="single" w:sz="8" w:color="0033A0"/>
            </w:tcBorders>
          </w:tcPr>
          <w:p>
            <w:pPr>
              <w:jc w:val="right"/>
              <w:spacing w:after="0"/>
              <w:rPr>
                <w:sz w:val="20"/>
                <w:szCs w:val="20"/>
                <w:color w:val="auto"/>
              </w:rPr>
            </w:pPr>
            <w:r>
              <w:rPr>
                <w:rFonts w:ascii="Arial" w:cs="Arial" w:eastAsia="Arial" w:hAnsi="Arial"/>
                <w:sz w:val="14"/>
                <w:szCs w:val="14"/>
                <w:color w:val="auto"/>
              </w:rPr>
              <w:t>(861,091)</w:t>
            </w:r>
          </w:p>
        </w:tc>
        <w:tc>
          <w:tcPr>
            <w:tcW w:w="1780" w:type="dxa"/>
            <w:vAlign w:val="bottom"/>
            <w:tcBorders>
              <w:bottom w:val="single" w:sz="8" w:color="0033A0"/>
            </w:tcBorders>
          </w:tcPr>
          <w:p>
            <w:pPr>
              <w:jc w:val="right"/>
              <w:spacing w:after="0"/>
              <w:rPr>
                <w:sz w:val="20"/>
                <w:szCs w:val="20"/>
                <w:color w:val="auto"/>
              </w:rPr>
            </w:pPr>
            <w:r>
              <w:rPr>
                <w:rFonts w:ascii="Arial" w:cs="Arial" w:eastAsia="Arial" w:hAnsi="Arial"/>
                <w:sz w:val="14"/>
                <w:szCs w:val="14"/>
                <w:color w:val="auto"/>
              </w:rPr>
              <w:t>(568,323)</w:t>
            </w:r>
          </w:p>
        </w:tc>
        <w:tc>
          <w:tcPr>
            <w:tcW w:w="1780" w:type="dxa"/>
            <w:vAlign w:val="bottom"/>
            <w:tcBorders>
              <w:bottom w:val="single" w:sz="8" w:color="0033A0"/>
            </w:tcBorders>
          </w:tcPr>
          <w:p>
            <w:pPr>
              <w:ind w:left="1420"/>
              <w:spacing w:after="0"/>
              <w:rPr>
                <w:sz w:val="20"/>
                <w:szCs w:val="20"/>
                <w:color w:val="auto"/>
              </w:rPr>
            </w:pPr>
            <w:r>
              <w:rPr>
                <w:rFonts w:ascii="Arial" w:cs="Arial" w:eastAsia="Arial" w:hAnsi="Arial"/>
                <w:sz w:val="14"/>
                <w:szCs w:val="14"/>
                <w:color w:val="auto"/>
              </w:rPr>
              <w:t>N/A</w:t>
            </w:r>
          </w:p>
        </w:tc>
        <w:tc>
          <w:tcPr>
            <w:tcW w:w="1780" w:type="dxa"/>
            <w:vAlign w:val="bottom"/>
            <w:tcBorders>
              <w:bottom w:val="single" w:sz="8" w:color="0033A0"/>
            </w:tcBorders>
          </w:tcPr>
          <w:p>
            <w:pPr>
              <w:ind w:left="1440"/>
              <w:spacing w:after="0"/>
              <w:rPr>
                <w:sz w:val="20"/>
                <w:szCs w:val="20"/>
                <w:color w:val="auto"/>
              </w:rPr>
            </w:pPr>
            <w:r>
              <w:rPr>
                <w:rFonts w:ascii="Arial" w:cs="Arial" w:eastAsia="Arial" w:hAnsi="Arial"/>
                <w:sz w:val="14"/>
                <w:szCs w:val="14"/>
                <w:color w:val="auto"/>
              </w:rPr>
              <w:t>N/A</w:t>
            </w:r>
          </w:p>
        </w:tc>
        <w:tc>
          <w:tcPr>
            <w:tcW w:w="1780" w:type="dxa"/>
            <w:vAlign w:val="bottom"/>
            <w:tcBorders>
              <w:bottom w:val="single" w:sz="8" w:color="0033A0"/>
            </w:tcBorders>
          </w:tcPr>
          <w:p>
            <w:pPr>
              <w:jc w:val="right"/>
              <w:spacing w:after="0"/>
              <w:rPr>
                <w:sz w:val="20"/>
                <w:szCs w:val="20"/>
                <w:color w:val="auto"/>
              </w:rPr>
            </w:pPr>
            <w:r>
              <w:rPr>
                <w:rFonts w:ascii="Arial" w:cs="Arial" w:eastAsia="Arial" w:hAnsi="Arial"/>
                <w:sz w:val="14"/>
                <w:szCs w:val="14"/>
                <w:color w:val="auto"/>
              </w:rPr>
              <w:t>(143,258)</w:t>
            </w:r>
          </w:p>
        </w:tc>
      </w:tr>
      <w:tr>
        <w:trPr>
          <w:trHeight w:val="155"/>
        </w:trPr>
        <w:tc>
          <w:tcPr>
            <w:tcW w:w="480" w:type="dxa"/>
            <w:vAlign w:val="bottom"/>
            <w:tcBorders>
              <w:left w:val="single" w:sz="8" w:color="E6E6E6"/>
              <w:bottom w:val="single" w:sz="8" w:color="0033A0"/>
              <w:right w:val="single" w:sz="8" w:color="E6E6E6"/>
            </w:tcBorders>
            <w:shd w:val="clear" w:color="auto" w:fill="E6E6E6"/>
          </w:tcPr>
          <w:p>
            <w:pPr>
              <w:ind w:left="80"/>
              <w:spacing w:after="0" w:line="155" w:lineRule="exact"/>
              <w:rPr>
                <w:sz w:val="20"/>
                <w:szCs w:val="20"/>
                <w:color w:val="auto"/>
              </w:rPr>
            </w:pPr>
            <w:r>
              <w:rPr>
                <w:rFonts w:ascii="Arial" w:cs="Arial" w:eastAsia="Arial" w:hAnsi="Arial"/>
                <w:sz w:val="14"/>
                <w:szCs w:val="14"/>
                <w:color w:val="auto"/>
              </w:rPr>
              <w:t>2023</w:t>
            </w:r>
          </w:p>
        </w:tc>
        <w:tc>
          <w:tcPr>
            <w:tcW w:w="1820" w:type="dxa"/>
            <w:vAlign w:val="bottom"/>
            <w:tcBorders>
              <w:bottom w:val="single" w:sz="8" w:color="0033A0"/>
              <w:right w:val="single" w:sz="8" w:color="E6E6E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1,727,107</w:t>
            </w:r>
          </w:p>
        </w:tc>
        <w:tc>
          <w:tcPr>
            <w:tcW w:w="1820" w:type="dxa"/>
            <w:vAlign w:val="bottom"/>
            <w:tcBorders>
              <w:bottom w:val="single" w:sz="8" w:color="0033A0"/>
              <w:right w:val="single" w:sz="8" w:color="E6E6E6"/>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(1,054,404)</w:t>
            </w:r>
          </w:p>
        </w:tc>
        <w:tc>
          <w:tcPr>
            <w:tcW w:w="1780" w:type="dxa"/>
            <w:vAlign w:val="bottom"/>
            <w:tcBorders>
              <w:bottom w:val="single" w:sz="8" w:color="0033A0"/>
              <w:right w:val="single" w:sz="8" w:color="E6E6E6"/>
            </w:tcBorders>
            <w:shd w:val="clear" w:color="auto" w:fill="E6E6E6"/>
          </w:tcPr>
          <w:p>
            <w:pPr>
              <w:jc w:val="right"/>
              <w:ind w:right="49"/>
              <w:spacing w:after="0" w:line="155" w:lineRule="exact"/>
              <w:rPr>
                <w:sz w:val="20"/>
                <w:szCs w:val="20"/>
                <w:color w:val="auto"/>
              </w:rPr>
            </w:pPr>
            <w:r>
              <w:rPr>
                <w:rFonts w:ascii="Arial" w:cs="Arial" w:eastAsia="Arial" w:hAnsi="Arial"/>
                <w:sz w:val="14"/>
                <w:szCs w:val="14"/>
                <w:color w:val="auto"/>
              </w:rPr>
              <w:t>795,768</w:t>
            </w:r>
          </w:p>
        </w:tc>
        <w:tc>
          <w:tcPr>
            <w:tcW w:w="1780" w:type="dxa"/>
            <w:vAlign w:val="bottom"/>
            <w:tcBorders>
              <w:bottom w:val="single" w:sz="8" w:color="0033A0"/>
              <w:right w:val="single" w:sz="8" w:color="E6E6E6"/>
            </w:tcBorders>
            <w:shd w:val="clear" w:color="auto" w:fill="E6E6E6"/>
          </w:tcPr>
          <w:p>
            <w:pPr>
              <w:ind w:left="1420"/>
              <w:spacing w:after="0" w:line="155" w:lineRule="exact"/>
              <w:rPr>
                <w:sz w:val="20"/>
                <w:szCs w:val="20"/>
                <w:color w:val="auto"/>
              </w:rPr>
            </w:pPr>
            <w:r>
              <w:rPr>
                <w:rFonts w:ascii="Arial" w:cs="Arial" w:eastAsia="Arial" w:hAnsi="Arial"/>
                <w:sz w:val="14"/>
                <w:szCs w:val="14"/>
                <w:color w:val="auto"/>
              </w:rPr>
              <w:t>N/A</w:t>
            </w:r>
          </w:p>
        </w:tc>
        <w:tc>
          <w:tcPr>
            <w:tcW w:w="1780" w:type="dxa"/>
            <w:vAlign w:val="bottom"/>
            <w:tcBorders>
              <w:bottom w:val="single" w:sz="8" w:color="0033A0"/>
              <w:right w:val="single" w:sz="8" w:color="E6E6E6"/>
            </w:tcBorders>
            <w:shd w:val="clear" w:color="auto" w:fill="E6E6E6"/>
          </w:tcPr>
          <w:p>
            <w:pPr>
              <w:ind w:left="1440"/>
              <w:spacing w:after="0" w:line="155" w:lineRule="exact"/>
              <w:rPr>
                <w:sz w:val="20"/>
                <w:szCs w:val="20"/>
                <w:color w:val="auto"/>
              </w:rPr>
            </w:pPr>
            <w:r>
              <w:rPr>
                <w:rFonts w:ascii="Arial" w:cs="Arial" w:eastAsia="Arial" w:hAnsi="Arial"/>
                <w:sz w:val="14"/>
                <w:szCs w:val="14"/>
                <w:color w:val="auto"/>
              </w:rPr>
              <w:t>N/A</w:t>
            </w:r>
          </w:p>
        </w:tc>
        <w:tc>
          <w:tcPr>
            <w:tcW w:w="1780" w:type="dxa"/>
            <w:vAlign w:val="bottom"/>
            <w:tcBorders>
              <w:bottom w:val="single" w:sz="8" w:color="0033A0"/>
              <w:right w:val="single" w:sz="8" w:color="E6E6E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1,468,471</w:t>
            </w:r>
          </w:p>
        </w:tc>
      </w:tr>
      <w:tr>
        <w:trPr>
          <w:trHeight w:val="155"/>
        </w:trPr>
        <w:tc>
          <w:tcPr>
            <w:tcW w:w="480" w:type="dxa"/>
            <w:vAlign w:val="bottom"/>
            <w:tcBorders>
              <w:bottom w:val="single" w:sz="8" w:color="0033A0"/>
            </w:tcBorders>
          </w:tcPr>
          <w:p>
            <w:pPr>
              <w:ind w:left="80"/>
              <w:spacing w:after="0" w:line="155" w:lineRule="exact"/>
              <w:rPr>
                <w:sz w:val="20"/>
                <w:szCs w:val="20"/>
                <w:color w:val="auto"/>
              </w:rPr>
            </w:pPr>
            <w:r>
              <w:rPr>
                <w:rFonts w:ascii="Arial" w:cs="Arial" w:eastAsia="Arial" w:hAnsi="Arial"/>
                <w:sz w:val="14"/>
                <w:szCs w:val="14"/>
                <w:color w:val="auto"/>
              </w:rPr>
              <w:t>2022</w:t>
            </w:r>
          </w:p>
        </w:tc>
        <w:tc>
          <w:tcPr>
            <w:tcW w:w="1820" w:type="dxa"/>
            <w:vAlign w:val="bottom"/>
            <w:tcBorders>
              <w:bottom w:val="single" w:sz="8" w:color="0033A0"/>
            </w:tcBorders>
          </w:tcPr>
          <w:p>
            <w:pPr>
              <w:jc w:val="right"/>
              <w:ind w:right="48"/>
              <w:spacing w:after="0" w:line="155" w:lineRule="exact"/>
              <w:rPr>
                <w:sz w:val="20"/>
                <w:szCs w:val="20"/>
                <w:color w:val="auto"/>
              </w:rPr>
            </w:pPr>
            <w:r>
              <w:rPr>
                <w:rFonts w:ascii="Arial" w:cs="Arial" w:eastAsia="Arial" w:hAnsi="Arial"/>
                <w:sz w:val="14"/>
                <w:szCs w:val="14"/>
                <w:color w:val="auto"/>
              </w:rPr>
              <w:t>1,546,037</w:t>
            </w:r>
          </w:p>
        </w:tc>
        <w:tc>
          <w:tcPr>
            <w:tcW w:w="1820" w:type="dxa"/>
            <w:vAlign w:val="bottom"/>
            <w:tcBorders>
              <w:bottom w:val="single" w:sz="8" w:color="0033A0"/>
            </w:tcBorders>
          </w:tcPr>
          <w:p>
            <w:pPr>
              <w:jc w:val="right"/>
              <w:spacing w:after="0" w:line="155" w:lineRule="exact"/>
              <w:rPr>
                <w:sz w:val="20"/>
                <w:szCs w:val="20"/>
                <w:color w:val="auto"/>
              </w:rPr>
            </w:pPr>
            <w:r>
              <w:rPr>
                <w:rFonts w:ascii="Arial" w:cs="Arial" w:eastAsia="Arial" w:hAnsi="Arial"/>
                <w:sz w:val="14"/>
                <w:szCs w:val="14"/>
                <w:color w:val="auto"/>
              </w:rPr>
              <w:t>(693,436)</w:t>
            </w:r>
          </w:p>
        </w:tc>
        <w:tc>
          <w:tcPr>
            <w:tcW w:w="1780" w:type="dxa"/>
            <w:vAlign w:val="bottom"/>
            <w:tcBorders>
              <w:bottom w:val="single" w:sz="8" w:color="0033A0"/>
            </w:tcBorders>
          </w:tcPr>
          <w:p>
            <w:pPr>
              <w:jc w:val="right"/>
              <w:ind w:right="49"/>
              <w:spacing w:after="0" w:line="155" w:lineRule="exact"/>
              <w:rPr>
                <w:sz w:val="20"/>
                <w:szCs w:val="20"/>
                <w:color w:val="auto"/>
              </w:rPr>
            </w:pPr>
            <w:r>
              <w:rPr>
                <w:rFonts w:ascii="Arial" w:cs="Arial" w:eastAsia="Arial" w:hAnsi="Arial"/>
                <w:sz w:val="14"/>
                <w:szCs w:val="14"/>
                <w:color w:val="auto"/>
              </w:rPr>
              <w:t>695,282</w:t>
            </w:r>
          </w:p>
        </w:tc>
        <w:tc>
          <w:tcPr>
            <w:tcW w:w="1780" w:type="dxa"/>
            <w:vAlign w:val="bottom"/>
            <w:tcBorders>
              <w:bottom w:val="single" w:sz="8" w:color="0033A0"/>
            </w:tcBorders>
          </w:tcPr>
          <w:p>
            <w:pPr>
              <w:ind w:left="1420"/>
              <w:spacing w:after="0" w:line="155" w:lineRule="exact"/>
              <w:rPr>
                <w:sz w:val="20"/>
                <w:szCs w:val="20"/>
                <w:color w:val="auto"/>
              </w:rPr>
            </w:pPr>
            <w:r>
              <w:rPr>
                <w:rFonts w:ascii="Arial" w:cs="Arial" w:eastAsia="Arial" w:hAnsi="Arial"/>
                <w:sz w:val="14"/>
                <w:szCs w:val="14"/>
                <w:color w:val="auto"/>
              </w:rPr>
              <w:t>N/A</w:t>
            </w:r>
          </w:p>
        </w:tc>
        <w:tc>
          <w:tcPr>
            <w:tcW w:w="1780" w:type="dxa"/>
            <w:vAlign w:val="bottom"/>
            <w:tcBorders>
              <w:bottom w:val="single" w:sz="8" w:color="0033A0"/>
            </w:tcBorders>
          </w:tcPr>
          <w:p>
            <w:pPr>
              <w:ind w:left="1440"/>
              <w:spacing w:after="0" w:line="155" w:lineRule="exact"/>
              <w:rPr>
                <w:sz w:val="20"/>
                <w:szCs w:val="20"/>
                <w:color w:val="auto"/>
              </w:rPr>
            </w:pPr>
            <w:r>
              <w:rPr>
                <w:rFonts w:ascii="Arial" w:cs="Arial" w:eastAsia="Arial" w:hAnsi="Arial"/>
                <w:sz w:val="14"/>
                <w:szCs w:val="14"/>
                <w:color w:val="auto"/>
              </w:rPr>
              <w:t>N/A</w:t>
            </w:r>
          </w:p>
        </w:tc>
        <w:tc>
          <w:tcPr>
            <w:tcW w:w="1780" w:type="dxa"/>
            <w:vAlign w:val="bottom"/>
            <w:tcBorders>
              <w:bottom w:val="single" w:sz="8" w:color="0033A0"/>
            </w:tcBorders>
          </w:tcPr>
          <w:p>
            <w:pPr>
              <w:jc w:val="right"/>
              <w:ind w:right="28"/>
              <w:spacing w:after="0" w:line="155" w:lineRule="exact"/>
              <w:rPr>
                <w:sz w:val="20"/>
                <w:szCs w:val="20"/>
                <w:color w:val="auto"/>
              </w:rPr>
            </w:pPr>
            <w:r>
              <w:rPr>
                <w:rFonts w:ascii="Arial" w:cs="Arial" w:eastAsia="Arial" w:hAnsi="Arial"/>
                <w:sz w:val="14"/>
                <w:szCs w:val="14"/>
                <w:color w:val="auto"/>
              </w:rPr>
              <w:t>1,547,883</w:t>
            </w:r>
          </w:p>
        </w:tc>
      </w:tr>
      <w:tr>
        <w:trPr>
          <w:trHeight w:val="155"/>
        </w:trPr>
        <w:tc>
          <w:tcPr>
            <w:tcW w:w="480" w:type="dxa"/>
            <w:vAlign w:val="bottom"/>
            <w:tcBorders>
              <w:left w:val="single" w:sz="8" w:color="E6E6E6"/>
              <w:bottom w:val="single" w:sz="8" w:color="0033A0"/>
              <w:right w:val="single" w:sz="8" w:color="E6E6E6"/>
            </w:tcBorders>
            <w:shd w:val="clear" w:color="auto" w:fill="E6E6E6"/>
          </w:tcPr>
          <w:p>
            <w:pPr>
              <w:ind w:left="80"/>
              <w:spacing w:after="0" w:line="155" w:lineRule="exact"/>
              <w:rPr>
                <w:sz w:val="20"/>
                <w:szCs w:val="20"/>
                <w:color w:val="auto"/>
              </w:rPr>
            </w:pPr>
            <w:r>
              <w:rPr>
                <w:rFonts w:ascii="Arial" w:cs="Arial" w:eastAsia="Arial" w:hAnsi="Arial"/>
                <w:sz w:val="14"/>
                <w:szCs w:val="14"/>
                <w:color w:val="auto"/>
              </w:rPr>
              <w:t>2021</w:t>
            </w:r>
          </w:p>
        </w:tc>
        <w:tc>
          <w:tcPr>
            <w:tcW w:w="1820" w:type="dxa"/>
            <w:vAlign w:val="bottom"/>
            <w:tcBorders>
              <w:bottom w:val="single" w:sz="8" w:color="0033A0"/>
              <w:right w:val="single" w:sz="8" w:color="E6E6E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1,360,173</w:t>
            </w:r>
          </w:p>
        </w:tc>
        <w:tc>
          <w:tcPr>
            <w:tcW w:w="1820" w:type="dxa"/>
            <w:vAlign w:val="bottom"/>
            <w:tcBorders>
              <w:bottom w:val="single" w:sz="8" w:color="0033A0"/>
              <w:right w:val="single" w:sz="8" w:color="E6E6E6"/>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(610,078)</w:t>
            </w:r>
          </w:p>
        </w:tc>
        <w:tc>
          <w:tcPr>
            <w:tcW w:w="1780" w:type="dxa"/>
            <w:vAlign w:val="bottom"/>
            <w:tcBorders>
              <w:bottom w:val="single" w:sz="8" w:color="0033A0"/>
              <w:right w:val="single" w:sz="8" w:color="E6E6E6"/>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(152,107)</w:t>
            </w:r>
          </w:p>
        </w:tc>
        <w:tc>
          <w:tcPr>
            <w:tcW w:w="1780" w:type="dxa"/>
            <w:vAlign w:val="bottom"/>
            <w:tcBorders>
              <w:bottom w:val="single" w:sz="8" w:color="0033A0"/>
              <w:right w:val="single" w:sz="8" w:color="E6E6E6"/>
            </w:tcBorders>
            <w:shd w:val="clear" w:color="auto" w:fill="E6E6E6"/>
          </w:tcPr>
          <w:p>
            <w:pPr>
              <w:ind w:left="1420"/>
              <w:spacing w:after="0" w:line="155" w:lineRule="exact"/>
              <w:rPr>
                <w:sz w:val="20"/>
                <w:szCs w:val="20"/>
                <w:color w:val="auto"/>
              </w:rPr>
            </w:pPr>
            <w:r>
              <w:rPr>
                <w:rFonts w:ascii="Arial" w:cs="Arial" w:eastAsia="Arial" w:hAnsi="Arial"/>
                <w:sz w:val="14"/>
                <w:szCs w:val="14"/>
                <w:color w:val="auto"/>
              </w:rPr>
              <w:t>N/A</w:t>
            </w:r>
          </w:p>
        </w:tc>
        <w:tc>
          <w:tcPr>
            <w:tcW w:w="1780" w:type="dxa"/>
            <w:vAlign w:val="bottom"/>
            <w:tcBorders>
              <w:bottom w:val="single" w:sz="8" w:color="0033A0"/>
              <w:right w:val="single" w:sz="8" w:color="E6E6E6"/>
            </w:tcBorders>
            <w:shd w:val="clear" w:color="auto" w:fill="E6E6E6"/>
          </w:tcPr>
          <w:p>
            <w:pPr>
              <w:ind w:left="1440"/>
              <w:spacing w:after="0" w:line="155" w:lineRule="exact"/>
              <w:rPr>
                <w:sz w:val="20"/>
                <w:szCs w:val="20"/>
                <w:color w:val="auto"/>
              </w:rPr>
            </w:pPr>
            <w:r>
              <w:rPr>
                <w:rFonts w:ascii="Arial" w:cs="Arial" w:eastAsia="Arial" w:hAnsi="Arial"/>
                <w:sz w:val="14"/>
                <w:szCs w:val="14"/>
                <w:color w:val="auto"/>
              </w:rPr>
              <w:t>N/A</w:t>
            </w:r>
          </w:p>
        </w:tc>
        <w:tc>
          <w:tcPr>
            <w:tcW w:w="1780" w:type="dxa"/>
            <w:vAlign w:val="bottom"/>
            <w:tcBorders>
              <w:bottom w:val="single" w:sz="8" w:color="0033A0"/>
              <w:right w:val="single" w:sz="8" w:color="E6E6E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597,988</w:t>
            </w:r>
          </w:p>
        </w:tc>
      </w:tr>
      <w:tr>
        <w:trPr>
          <w:trHeight w:val="155"/>
        </w:trPr>
        <w:tc>
          <w:tcPr>
            <w:tcW w:w="480" w:type="dxa"/>
            <w:vAlign w:val="bottom"/>
            <w:tcBorders>
              <w:left w:val="single" w:sz="8" w:color="2D53A6"/>
              <w:bottom w:val="single" w:sz="8" w:color="2D53A6"/>
              <w:right w:val="single" w:sz="8" w:color="2D53A6"/>
            </w:tcBorders>
          </w:tcPr>
          <w:p>
            <w:pPr>
              <w:ind w:left="80"/>
              <w:spacing w:after="0" w:line="155" w:lineRule="exact"/>
              <w:rPr>
                <w:sz w:val="20"/>
                <w:szCs w:val="20"/>
                <w:color w:val="auto"/>
              </w:rPr>
            </w:pPr>
            <w:r>
              <w:rPr>
                <w:rFonts w:ascii="Arial" w:cs="Arial" w:eastAsia="Arial" w:hAnsi="Arial"/>
                <w:sz w:val="14"/>
                <w:szCs w:val="14"/>
                <w:color w:val="auto"/>
              </w:rPr>
              <w:t>2020</w:t>
            </w:r>
          </w:p>
        </w:tc>
        <w:tc>
          <w:tcPr>
            <w:tcW w:w="1820" w:type="dxa"/>
            <w:vAlign w:val="bottom"/>
            <w:tcBorders>
              <w:bottom w:val="single" w:sz="8" w:color="2D53A6"/>
              <w:right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1,093,312</w:t>
            </w:r>
          </w:p>
        </w:tc>
        <w:tc>
          <w:tcPr>
            <w:tcW w:w="1820" w:type="dxa"/>
            <w:vAlign w:val="bottom"/>
            <w:tcBorders>
              <w:bottom w:val="single" w:sz="8" w:color="2D53A6"/>
              <w:right w:val="single" w:sz="8" w:color="2D53A6"/>
            </w:tcBorders>
          </w:tcPr>
          <w:p>
            <w:pPr>
              <w:jc w:val="right"/>
              <w:spacing w:after="0" w:line="155" w:lineRule="exact"/>
              <w:rPr>
                <w:sz w:val="20"/>
                <w:szCs w:val="20"/>
                <w:color w:val="auto"/>
              </w:rPr>
            </w:pPr>
            <w:r>
              <w:rPr>
                <w:rFonts w:ascii="Arial" w:cs="Arial" w:eastAsia="Arial" w:hAnsi="Arial"/>
                <w:sz w:val="14"/>
                <w:szCs w:val="14"/>
                <w:color w:val="auto"/>
              </w:rPr>
              <w:t>(468,046)</w:t>
            </w:r>
          </w:p>
        </w:tc>
        <w:tc>
          <w:tcPr>
            <w:tcW w:w="1780" w:type="dxa"/>
            <w:vAlign w:val="bottom"/>
            <w:tcBorders>
              <w:bottom w:val="single" w:sz="8" w:color="2D53A6"/>
              <w:right w:val="single" w:sz="8" w:color="2D53A6"/>
            </w:tcBorders>
          </w:tcPr>
          <w:p>
            <w:pPr>
              <w:jc w:val="right"/>
              <w:ind w:right="49"/>
              <w:spacing w:after="0" w:line="155" w:lineRule="exact"/>
              <w:rPr>
                <w:sz w:val="20"/>
                <w:szCs w:val="20"/>
                <w:color w:val="auto"/>
              </w:rPr>
            </w:pPr>
            <w:r>
              <w:rPr>
                <w:rFonts w:ascii="Arial" w:cs="Arial" w:eastAsia="Arial" w:hAnsi="Arial"/>
                <w:sz w:val="14"/>
                <w:szCs w:val="14"/>
                <w:color w:val="auto"/>
              </w:rPr>
              <w:t>2,492,317</w:t>
            </w:r>
          </w:p>
        </w:tc>
        <w:tc>
          <w:tcPr>
            <w:tcW w:w="1780" w:type="dxa"/>
            <w:vAlign w:val="bottom"/>
            <w:tcBorders>
              <w:bottom w:val="single" w:sz="8" w:color="2D53A6"/>
              <w:right w:val="single" w:sz="8" w:color="2D53A6"/>
            </w:tcBorders>
          </w:tcPr>
          <w:p>
            <w:pPr>
              <w:ind w:left="1420"/>
              <w:spacing w:after="0" w:line="155" w:lineRule="exact"/>
              <w:rPr>
                <w:sz w:val="20"/>
                <w:szCs w:val="20"/>
                <w:color w:val="auto"/>
              </w:rPr>
            </w:pPr>
            <w:r>
              <w:rPr>
                <w:rFonts w:ascii="Arial" w:cs="Arial" w:eastAsia="Arial" w:hAnsi="Arial"/>
                <w:sz w:val="14"/>
                <w:szCs w:val="14"/>
                <w:color w:val="auto"/>
              </w:rPr>
              <w:t>N/A</w:t>
            </w:r>
          </w:p>
        </w:tc>
        <w:tc>
          <w:tcPr>
            <w:tcW w:w="1780" w:type="dxa"/>
            <w:vAlign w:val="bottom"/>
            <w:tcBorders>
              <w:bottom w:val="single" w:sz="8" w:color="2D53A6"/>
              <w:right w:val="single" w:sz="8" w:color="2D53A6"/>
            </w:tcBorders>
          </w:tcPr>
          <w:p>
            <w:pPr>
              <w:ind w:left="1440"/>
              <w:spacing w:after="0" w:line="155" w:lineRule="exact"/>
              <w:rPr>
                <w:sz w:val="20"/>
                <w:szCs w:val="20"/>
                <w:color w:val="auto"/>
              </w:rPr>
            </w:pPr>
            <w:r>
              <w:rPr>
                <w:rFonts w:ascii="Arial" w:cs="Arial" w:eastAsia="Arial" w:hAnsi="Arial"/>
                <w:sz w:val="14"/>
                <w:szCs w:val="14"/>
                <w:color w:val="auto"/>
              </w:rPr>
              <w:t>N/A</w:t>
            </w:r>
          </w:p>
        </w:tc>
        <w:tc>
          <w:tcPr>
            <w:tcW w:w="178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3,117,583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-569595</wp:posOffset>
            </wp:positionV>
            <wp:extent cx="33655" cy="4711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711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-569595</wp:posOffset>
            </wp:positionV>
            <wp:extent cx="34290" cy="4711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71170"/>
                    </a:xfrm>
                    <a:prstGeom prst="rect">
                      <a:avLst/>
                    </a:prstGeom>
                    <a:noFill/>
                  </pic:spPr>
                </pic:pic>
              </a:graphicData>
            </a:graphic>
          </wp:anchor>
        </w:drawing>
        <w:drawing>
          <wp:anchor simplePos="0" relativeHeight="251657728" behindDoc="1" locked="0" layoutInCell="0" allowOverlap="1">
            <wp:simplePos x="0" y="0"/>
            <wp:positionH relativeFrom="column">
              <wp:posOffset>1440815</wp:posOffset>
            </wp:positionH>
            <wp:positionV relativeFrom="paragraph">
              <wp:posOffset>-569595</wp:posOffset>
            </wp:positionV>
            <wp:extent cx="33655" cy="4711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71170"/>
                    </a:xfrm>
                    <a:prstGeom prst="rect">
                      <a:avLst/>
                    </a:prstGeom>
                    <a:noFill/>
                  </pic:spPr>
                </pic:pic>
              </a:graphicData>
            </a:graphic>
          </wp:anchor>
        </w:drawing>
        <w:drawing>
          <wp:anchor simplePos="0" relativeHeight="251657728" behindDoc="1" locked="0" layoutInCell="0" allowOverlap="1">
            <wp:simplePos x="0" y="0"/>
            <wp:positionH relativeFrom="column">
              <wp:posOffset>2589530</wp:posOffset>
            </wp:positionH>
            <wp:positionV relativeFrom="paragraph">
              <wp:posOffset>-569595</wp:posOffset>
            </wp:positionV>
            <wp:extent cx="34290" cy="4711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7117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-569595</wp:posOffset>
            </wp:positionV>
            <wp:extent cx="33655" cy="4711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71170"/>
                    </a:xfrm>
                    <a:prstGeom prst="rect">
                      <a:avLst/>
                    </a:prstGeom>
                    <a:noFill/>
                  </pic:spPr>
                </pic:pic>
              </a:graphicData>
            </a:graphic>
          </wp:anchor>
        </w:drawing>
        <w:drawing>
          <wp:anchor simplePos="0" relativeHeight="251657728" behindDoc="1" locked="0" layoutInCell="0" allowOverlap="1">
            <wp:simplePos x="0" y="0"/>
            <wp:positionH relativeFrom="column">
              <wp:posOffset>4852670</wp:posOffset>
            </wp:positionH>
            <wp:positionV relativeFrom="paragraph">
              <wp:posOffset>-569595</wp:posOffset>
            </wp:positionV>
            <wp:extent cx="33655" cy="4711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71170"/>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-569595</wp:posOffset>
            </wp:positionV>
            <wp:extent cx="33655" cy="4711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7117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-569595</wp:posOffset>
            </wp:positionV>
            <wp:extent cx="33655" cy="4711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71170"/>
                    </a:xfrm>
                    <a:prstGeom prst="rect">
                      <a:avLst/>
                    </a:prstGeom>
                    <a:noFill/>
                  </pic:spPr>
                </pic:pic>
              </a:graphicData>
            </a:graphic>
          </wp:anchor>
        </w:drawing>
      </w:r>
    </w:p>
    <w:p>
      <w:pPr>
        <w:spacing w:after="0" w:line="173"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amounts deducted or added in calculating the equity award adjustments are detailed in the Equity Component of CAP Reconciliation tables that follow.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NEO Equity Component of CAP Reconciliation</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480" w:type="dxa"/>
            <w:vAlign w:val="bottom"/>
            <w:tcBorders>
              <w:left w:val="single" w:sz="8" w:color="2D53A6"/>
              <w:right w:val="single" w:sz="8" w:color="2D53A6"/>
            </w:tcBorders>
            <w:shd w:val="clear" w:color="auto" w:fill="2D53A6"/>
          </w:tcPr>
          <w:p>
            <w:pPr>
              <w:spacing w:after="0"/>
              <w:rPr>
                <w:sz w:val="14"/>
                <w:szCs w:val="14"/>
                <w:color w:val="auto"/>
              </w:rPr>
            </w:pPr>
          </w:p>
        </w:tc>
        <w:tc>
          <w:tcPr>
            <w:tcW w:w="1820" w:type="dxa"/>
            <w:vAlign w:val="bottom"/>
            <w:tcBorders>
              <w:right w:val="single" w:sz="8" w:color="2D53A6"/>
            </w:tcBorders>
            <w:shd w:val="clear" w:color="auto" w:fill="2D53A6"/>
          </w:tcPr>
          <w:p>
            <w:pPr>
              <w:spacing w:after="0"/>
              <w:rPr>
                <w:sz w:val="14"/>
                <w:szCs w:val="14"/>
                <w:color w:val="auto"/>
              </w:rPr>
            </w:pPr>
          </w:p>
        </w:tc>
        <w:tc>
          <w:tcPr>
            <w:tcW w:w="1820" w:type="dxa"/>
            <w:vAlign w:val="bottom"/>
            <w:tcBorders>
              <w:right w:val="single" w:sz="8" w:color="2D53A6"/>
            </w:tcBorders>
            <w:shd w:val="clear" w:color="auto" w:fill="2D53A6"/>
          </w:tcPr>
          <w:p>
            <w:pPr>
              <w:spacing w:after="0"/>
              <w:rPr>
                <w:sz w:val="14"/>
                <w:szCs w:val="14"/>
                <w:color w:val="auto"/>
              </w:rPr>
            </w:pPr>
          </w:p>
        </w:tc>
        <w:tc>
          <w:tcPr>
            <w:tcW w:w="1780" w:type="dxa"/>
            <w:vAlign w:val="bottom"/>
            <w:tcBorders>
              <w:right w:val="single" w:sz="8" w:color="2D53A6"/>
            </w:tcBorders>
            <w:shd w:val="clear" w:color="auto" w:fill="2D53A6"/>
          </w:tcPr>
          <w:p>
            <w:pPr>
              <w:spacing w:after="0"/>
              <w:rPr>
                <w:sz w:val="14"/>
                <w:szCs w:val="14"/>
                <w:color w:val="auto"/>
              </w:rPr>
            </w:pPr>
          </w:p>
        </w:tc>
        <w:tc>
          <w:tcPr>
            <w:tcW w:w="1780" w:type="dxa"/>
            <w:vAlign w:val="bottom"/>
            <w:tcBorders>
              <w:right w:val="single" w:sz="8" w:color="2D53A6"/>
            </w:tcBorders>
            <w:shd w:val="clear" w:color="auto" w:fill="2D53A6"/>
          </w:tcPr>
          <w:p>
            <w:pPr>
              <w:spacing w:after="0"/>
              <w:rPr>
                <w:sz w:val="14"/>
                <w:szCs w:val="14"/>
                <w:color w:val="auto"/>
              </w:rPr>
            </w:pP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Fair Value at the</w:t>
            </w:r>
          </w:p>
        </w:tc>
        <w:tc>
          <w:tcPr>
            <w:tcW w:w="1780" w:type="dxa"/>
            <w:vAlign w:val="bottom"/>
            <w:tcBorders>
              <w:right w:val="single" w:sz="8" w:color="2D53A6"/>
            </w:tcBorders>
            <w:shd w:val="clear" w:color="auto" w:fill="2D53A6"/>
          </w:tcPr>
          <w:p>
            <w:pPr>
              <w:spacing w:after="0"/>
              <w:rPr>
                <w:sz w:val="14"/>
                <w:szCs w:val="14"/>
                <w:color w:val="auto"/>
              </w:rPr>
            </w:pPr>
          </w:p>
        </w:tc>
      </w:tr>
      <w:tr>
        <w:trPr>
          <w:trHeight w:val="162"/>
        </w:trPr>
        <w:tc>
          <w:tcPr>
            <w:tcW w:w="480" w:type="dxa"/>
            <w:vAlign w:val="bottom"/>
            <w:tcBorders>
              <w:left w:val="single" w:sz="8" w:color="2D53A6"/>
              <w:right w:val="single" w:sz="8" w:color="2D53A6"/>
            </w:tcBorders>
            <w:shd w:val="clear" w:color="auto" w:fill="2D53A6"/>
          </w:tcPr>
          <w:p>
            <w:pPr>
              <w:spacing w:after="0"/>
              <w:rPr>
                <w:sz w:val="14"/>
                <w:szCs w:val="14"/>
                <w:color w:val="auto"/>
              </w:rPr>
            </w:pPr>
          </w:p>
        </w:tc>
        <w:tc>
          <w:tcPr>
            <w:tcW w:w="1820" w:type="dxa"/>
            <w:vAlign w:val="bottom"/>
            <w:tcBorders>
              <w:right w:val="single" w:sz="8" w:color="2D53A6"/>
            </w:tcBorders>
            <w:shd w:val="clear" w:color="auto" w:fill="2D53A6"/>
          </w:tcPr>
          <w:p>
            <w:pPr>
              <w:spacing w:after="0"/>
              <w:rPr>
                <w:sz w:val="14"/>
                <w:szCs w:val="14"/>
                <w:color w:val="auto"/>
              </w:rPr>
            </w:pPr>
          </w:p>
        </w:tc>
        <w:tc>
          <w:tcPr>
            <w:tcW w:w="1820" w:type="dxa"/>
            <w:vAlign w:val="bottom"/>
            <w:tcBorders>
              <w:right w:val="single" w:sz="8" w:color="2D53A6"/>
            </w:tcBorders>
            <w:shd w:val="clear" w:color="auto" w:fill="2D53A6"/>
          </w:tcPr>
          <w:p>
            <w:pPr>
              <w:spacing w:after="0"/>
              <w:rPr>
                <w:sz w:val="14"/>
                <w:szCs w:val="14"/>
                <w:color w:val="auto"/>
              </w:rPr>
            </w:pPr>
          </w:p>
        </w:tc>
        <w:tc>
          <w:tcPr>
            <w:tcW w:w="1780" w:type="dxa"/>
            <w:vAlign w:val="bottom"/>
            <w:tcBorders>
              <w:right w:val="single" w:sz="8" w:color="2D53A6"/>
            </w:tcBorders>
            <w:shd w:val="clear" w:color="auto" w:fill="2D53A6"/>
          </w:tcPr>
          <w:p>
            <w:pPr>
              <w:spacing w:after="0"/>
              <w:rPr>
                <w:sz w:val="14"/>
                <w:szCs w:val="14"/>
                <w:color w:val="auto"/>
              </w:rPr>
            </w:pPr>
          </w:p>
        </w:tc>
        <w:tc>
          <w:tcPr>
            <w:tcW w:w="1780" w:type="dxa"/>
            <w:vAlign w:val="bottom"/>
            <w:tcBorders>
              <w:right w:val="single" w:sz="8" w:color="2D53A6"/>
            </w:tcBorders>
            <w:shd w:val="clear" w:color="auto" w:fill="2D53A6"/>
          </w:tcPr>
          <w:p>
            <w:pPr>
              <w:spacing w:after="0"/>
              <w:rPr>
                <w:sz w:val="14"/>
                <w:szCs w:val="14"/>
                <w:color w:val="auto"/>
              </w:rPr>
            </w:pP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End of the Prior</w:t>
            </w:r>
          </w:p>
        </w:tc>
        <w:tc>
          <w:tcPr>
            <w:tcW w:w="1780" w:type="dxa"/>
            <w:vAlign w:val="bottom"/>
            <w:tcBorders>
              <w:right w:val="single" w:sz="8" w:color="2D53A6"/>
            </w:tcBorders>
            <w:shd w:val="clear" w:color="auto" w:fill="2D53A6"/>
          </w:tcPr>
          <w:p>
            <w:pPr>
              <w:spacing w:after="0"/>
              <w:rPr>
                <w:sz w:val="14"/>
                <w:szCs w:val="14"/>
                <w:color w:val="auto"/>
              </w:rPr>
            </w:pPr>
          </w:p>
        </w:tc>
      </w:tr>
      <w:tr>
        <w:trPr>
          <w:trHeight w:val="162"/>
        </w:trPr>
        <w:tc>
          <w:tcPr>
            <w:tcW w:w="480" w:type="dxa"/>
            <w:vAlign w:val="bottom"/>
            <w:tcBorders>
              <w:left w:val="single" w:sz="8" w:color="2D53A6"/>
              <w:right w:val="single" w:sz="8" w:color="2D53A6"/>
            </w:tcBorders>
            <w:shd w:val="clear" w:color="auto" w:fill="2D53A6"/>
          </w:tcPr>
          <w:p>
            <w:pPr>
              <w:spacing w:after="0"/>
              <w:rPr>
                <w:sz w:val="14"/>
                <w:szCs w:val="14"/>
                <w:color w:val="auto"/>
              </w:rPr>
            </w:pPr>
          </w:p>
        </w:tc>
        <w:tc>
          <w:tcPr>
            <w:tcW w:w="1820" w:type="dxa"/>
            <w:vAlign w:val="bottom"/>
            <w:tcBorders>
              <w:right w:val="single" w:sz="8" w:color="2D53A6"/>
            </w:tcBorders>
            <w:shd w:val="clear" w:color="auto" w:fill="2D53A6"/>
          </w:tcPr>
          <w:p>
            <w:pPr>
              <w:spacing w:after="0"/>
              <w:rPr>
                <w:sz w:val="14"/>
                <w:szCs w:val="14"/>
                <w:color w:val="auto"/>
              </w:rPr>
            </w:pP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Year over Year</w:t>
            </w:r>
          </w:p>
        </w:tc>
        <w:tc>
          <w:tcPr>
            <w:tcW w:w="1780" w:type="dxa"/>
            <w:vAlign w:val="bottom"/>
            <w:tcBorders>
              <w:right w:val="single" w:sz="8" w:color="2D53A6"/>
            </w:tcBorders>
            <w:shd w:val="clear" w:color="auto" w:fill="2D53A6"/>
          </w:tcPr>
          <w:p>
            <w:pPr>
              <w:spacing w:after="0"/>
              <w:rPr>
                <w:sz w:val="14"/>
                <w:szCs w:val="14"/>
                <w:color w:val="auto"/>
              </w:rPr>
            </w:pP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Year over Year</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Year of Equity</w:t>
            </w:r>
          </w:p>
        </w:tc>
        <w:tc>
          <w:tcPr>
            <w:tcW w:w="1780" w:type="dxa"/>
            <w:vAlign w:val="bottom"/>
            <w:tcBorders>
              <w:right w:val="single" w:sz="8" w:color="2D53A6"/>
            </w:tcBorders>
            <w:shd w:val="clear" w:color="auto" w:fill="2D53A6"/>
          </w:tcPr>
          <w:p>
            <w:pPr>
              <w:spacing w:after="0"/>
              <w:rPr>
                <w:sz w:val="14"/>
                <w:szCs w:val="14"/>
                <w:color w:val="auto"/>
              </w:rPr>
            </w:pPr>
          </w:p>
        </w:tc>
      </w:tr>
      <w:tr>
        <w:trPr>
          <w:trHeight w:val="162"/>
        </w:trPr>
        <w:tc>
          <w:tcPr>
            <w:tcW w:w="480" w:type="dxa"/>
            <w:vAlign w:val="bottom"/>
            <w:tcBorders>
              <w:left w:val="single" w:sz="8" w:color="2D53A6"/>
              <w:right w:val="single" w:sz="8" w:color="2D53A6"/>
            </w:tcBorders>
            <w:shd w:val="clear" w:color="auto" w:fill="2D53A6"/>
          </w:tcPr>
          <w:p>
            <w:pPr>
              <w:spacing w:after="0"/>
              <w:rPr>
                <w:sz w:val="14"/>
                <w:szCs w:val="14"/>
                <w:color w:val="auto"/>
              </w:rPr>
            </w:pPr>
          </w:p>
        </w:tc>
        <w:tc>
          <w:tcPr>
            <w:tcW w:w="1820" w:type="dxa"/>
            <w:vAlign w:val="bottom"/>
            <w:tcBorders>
              <w:right w:val="single" w:sz="8" w:color="2D53A6"/>
            </w:tcBorders>
            <w:shd w:val="clear" w:color="auto" w:fill="2D53A6"/>
          </w:tcPr>
          <w:p>
            <w:pPr>
              <w:spacing w:after="0"/>
              <w:rPr>
                <w:sz w:val="14"/>
                <w:szCs w:val="14"/>
                <w:color w:val="auto"/>
              </w:rPr>
            </w:pP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Fair Value as of</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Awards that</w:t>
            </w:r>
          </w:p>
        </w:tc>
        <w:tc>
          <w:tcPr>
            <w:tcW w:w="1780" w:type="dxa"/>
            <w:vAlign w:val="bottom"/>
            <w:tcBorders>
              <w:right w:val="single" w:sz="8" w:color="2D53A6"/>
            </w:tcBorders>
            <w:shd w:val="clear" w:color="auto" w:fill="2D53A6"/>
          </w:tcPr>
          <w:p>
            <w:pPr>
              <w:spacing w:after="0"/>
              <w:rPr>
                <w:sz w:val="14"/>
                <w:szCs w:val="14"/>
                <w:color w:val="auto"/>
              </w:rPr>
            </w:pPr>
          </w:p>
        </w:tc>
      </w:tr>
      <w:tr>
        <w:trPr>
          <w:trHeight w:val="162"/>
        </w:trPr>
        <w:tc>
          <w:tcPr>
            <w:tcW w:w="480" w:type="dxa"/>
            <w:vAlign w:val="bottom"/>
            <w:tcBorders>
              <w:left w:val="single" w:sz="8" w:color="2D53A6"/>
              <w:right w:val="single" w:sz="8" w:color="2D53A6"/>
            </w:tcBorders>
            <w:shd w:val="clear" w:color="auto" w:fill="2D53A6"/>
          </w:tcPr>
          <w:p>
            <w:pPr>
              <w:spacing w:after="0"/>
              <w:rPr>
                <w:sz w:val="14"/>
                <w:szCs w:val="14"/>
                <w:color w:val="auto"/>
              </w:rPr>
            </w:pPr>
          </w:p>
        </w:tc>
        <w:tc>
          <w:tcPr>
            <w:tcW w:w="1820" w:type="dxa"/>
            <w:vAlign w:val="bottom"/>
            <w:tcBorders>
              <w:right w:val="single" w:sz="8" w:color="2D53A6"/>
            </w:tcBorders>
            <w:shd w:val="clear" w:color="auto" w:fill="2D53A6"/>
          </w:tcPr>
          <w:p>
            <w:pPr>
              <w:spacing w:after="0"/>
              <w:rPr>
                <w:sz w:val="14"/>
                <w:szCs w:val="14"/>
                <w:color w:val="auto"/>
              </w:rPr>
            </w:pP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Value of</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Vesting Date of</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Value of Equity</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Failed to Meet</w:t>
            </w:r>
          </w:p>
        </w:tc>
        <w:tc>
          <w:tcPr>
            <w:tcW w:w="1780" w:type="dxa"/>
            <w:vAlign w:val="bottom"/>
            <w:tcBorders>
              <w:right w:val="single" w:sz="8" w:color="2D53A6"/>
            </w:tcBorders>
            <w:shd w:val="clear" w:color="auto" w:fill="2D53A6"/>
          </w:tcPr>
          <w:p>
            <w:pPr>
              <w:spacing w:after="0"/>
              <w:rPr>
                <w:sz w:val="14"/>
                <w:szCs w:val="14"/>
                <w:color w:val="auto"/>
              </w:rPr>
            </w:pPr>
          </w:p>
        </w:tc>
      </w:tr>
      <w:tr>
        <w:trPr>
          <w:trHeight w:val="162"/>
        </w:trPr>
        <w:tc>
          <w:tcPr>
            <w:tcW w:w="480" w:type="dxa"/>
            <w:vAlign w:val="bottom"/>
            <w:tcBorders>
              <w:left w:val="single" w:sz="8" w:color="2D53A6"/>
              <w:right w:val="single" w:sz="8" w:color="2D53A6"/>
            </w:tcBorders>
            <w:shd w:val="clear" w:color="auto" w:fill="2D53A6"/>
          </w:tcPr>
          <w:p>
            <w:pPr>
              <w:spacing w:after="0"/>
              <w:rPr>
                <w:sz w:val="14"/>
                <w:szCs w:val="14"/>
                <w:color w:val="auto"/>
              </w:rPr>
            </w:pP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Year End Fair</w:t>
            </w: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Outstanding and</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Equity Awards</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Awards Granted</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Vesting</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Total Equity</w:t>
            </w:r>
          </w:p>
        </w:tc>
      </w:tr>
      <w:tr>
        <w:trPr>
          <w:trHeight w:val="162"/>
        </w:trPr>
        <w:tc>
          <w:tcPr>
            <w:tcW w:w="480" w:type="dxa"/>
            <w:vAlign w:val="bottom"/>
            <w:tcBorders>
              <w:left w:val="single" w:sz="8" w:color="2D53A6"/>
              <w:right w:val="single" w:sz="8" w:color="2D53A6"/>
            </w:tcBorders>
            <w:shd w:val="clear" w:color="auto" w:fill="2D53A6"/>
          </w:tcPr>
          <w:p>
            <w:pPr>
              <w:spacing w:after="0"/>
              <w:rPr>
                <w:sz w:val="14"/>
                <w:szCs w:val="14"/>
                <w:color w:val="auto"/>
              </w:rPr>
            </w:pP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Value of Equity</w:t>
            </w: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Unvested Equity</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Granted and</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in Prior Years that</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Conditions in the</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Award</w:t>
            </w:r>
          </w:p>
        </w:tc>
      </w:tr>
      <w:tr>
        <w:trPr>
          <w:trHeight w:val="171"/>
        </w:trPr>
        <w:tc>
          <w:tcPr>
            <w:tcW w:w="480" w:type="dxa"/>
            <w:vAlign w:val="bottom"/>
            <w:tcBorders>
              <w:left w:val="single" w:sz="8" w:color="2D53A6"/>
              <w:right w:val="single" w:sz="8" w:color="2D53A6"/>
            </w:tcBorders>
            <w:shd w:val="clear" w:color="auto" w:fill="2D53A6"/>
          </w:tcPr>
          <w:p>
            <w:pPr>
              <w:ind w:left="80"/>
              <w:spacing w:after="0"/>
              <w:rPr>
                <w:sz w:val="20"/>
                <w:szCs w:val="20"/>
                <w:color w:val="auto"/>
              </w:rPr>
            </w:pPr>
            <w:r>
              <w:rPr>
                <w:rFonts w:ascii="Arial" w:cs="Arial" w:eastAsia="Arial" w:hAnsi="Arial"/>
                <w:sz w:val="14"/>
                <w:szCs w:val="14"/>
                <w:b w:val="1"/>
                <w:bCs w:val="1"/>
                <w:color w:val="FFFFFF"/>
              </w:rPr>
              <w:t>Year</w:t>
            </w: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Awards</w:t>
            </w: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Awards</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Vested in the Year</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Vested in the Year</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Year</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Adjustments</w:t>
            </w:r>
          </w:p>
        </w:tc>
      </w:tr>
      <w:tr>
        <w:trPr>
          <w:trHeight w:val="162"/>
        </w:trPr>
        <w:tc>
          <w:tcPr>
            <w:tcW w:w="480" w:type="dxa"/>
            <w:vAlign w:val="bottom"/>
            <w:tcBorders>
              <w:left w:val="single" w:sz="8" w:color="2D53A6"/>
              <w:right w:val="single" w:sz="8" w:color="2D53A6"/>
            </w:tcBorders>
            <w:shd w:val="clear" w:color="auto" w:fill="2D53A6"/>
          </w:tcPr>
          <w:p>
            <w:pPr>
              <w:spacing w:after="0"/>
              <w:rPr>
                <w:sz w:val="14"/>
                <w:szCs w:val="14"/>
                <w:color w:val="auto"/>
              </w:rPr>
            </w:pP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r>
      <w:tr>
        <w:trPr>
          <w:trHeight w:val="162"/>
        </w:trPr>
        <w:tc>
          <w:tcPr>
            <w:tcW w:w="480" w:type="dxa"/>
            <w:vAlign w:val="bottom"/>
            <w:tcBorders>
              <w:bottom w:val="single" w:sz="8" w:color="0033A0"/>
              <w:right w:val="single" w:sz="8" w:color="0033A0"/>
            </w:tcBorders>
          </w:tcPr>
          <w:p>
            <w:pPr>
              <w:ind w:left="80"/>
              <w:spacing w:after="0"/>
              <w:rPr>
                <w:sz w:val="20"/>
                <w:szCs w:val="20"/>
                <w:color w:val="auto"/>
              </w:rPr>
            </w:pPr>
            <w:r>
              <w:rPr>
                <w:rFonts w:ascii="Arial" w:cs="Arial" w:eastAsia="Arial" w:hAnsi="Arial"/>
                <w:sz w:val="14"/>
                <w:szCs w:val="14"/>
                <w:color w:val="auto"/>
              </w:rPr>
              <w:t>2024</w:t>
            </w:r>
          </w:p>
        </w:tc>
        <w:tc>
          <w:tcPr>
            <w:tcW w:w="1820" w:type="dxa"/>
            <w:vAlign w:val="bottom"/>
            <w:tcBorders>
              <w:bottom w:val="single" w:sz="8" w:color="0033A0"/>
              <w:right w:val="single" w:sz="8" w:color="0033A0"/>
            </w:tcBorders>
          </w:tcPr>
          <w:p>
            <w:pPr>
              <w:jc w:val="right"/>
              <w:ind w:right="48"/>
              <w:spacing w:after="0"/>
              <w:rPr>
                <w:sz w:val="20"/>
                <w:szCs w:val="20"/>
                <w:color w:val="auto"/>
              </w:rPr>
            </w:pPr>
            <w:r>
              <w:rPr>
                <w:rFonts w:ascii="Arial" w:cs="Arial" w:eastAsia="Arial" w:hAnsi="Arial"/>
                <w:sz w:val="14"/>
                <w:szCs w:val="14"/>
                <w:color w:val="auto"/>
              </w:rPr>
              <w:t>518,278</w:t>
            </w:r>
          </w:p>
        </w:tc>
        <w:tc>
          <w:tcPr>
            <w:tcW w:w="1820" w:type="dxa"/>
            <w:vAlign w:val="bottom"/>
            <w:tcBorders>
              <w:bottom w:val="single" w:sz="8" w:color="0033A0"/>
              <w:right w:val="single" w:sz="8" w:color="0033A0"/>
            </w:tcBorders>
          </w:tcPr>
          <w:p>
            <w:pPr>
              <w:jc w:val="right"/>
              <w:spacing w:after="0"/>
              <w:rPr>
                <w:sz w:val="20"/>
                <w:szCs w:val="20"/>
                <w:color w:val="auto"/>
              </w:rPr>
            </w:pPr>
            <w:r>
              <w:rPr>
                <w:rFonts w:ascii="Arial" w:cs="Arial" w:eastAsia="Arial" w:hAnsi="Arial"/>
                <w:sz w:val="14"/>
                <w:szCs w:val="14"/>
                <w:color w:val="auto"/>
              </w:rPr>
              <w:t>(1,039,301)</w:t>
            </w:r>
          </w:p>
        </w:tc>
        <w:tc>
          <w:tcPr>
            <w:tcW w:w="1780" w:type="dxa"/>
            <w:vAlign w:val="bottom"/>
            <w:tcBorders>
              <w:bottom w:val="single" w:sz="8" w:color="0033A0"/>
              <w:right w:val="single" w:sz="8" w:color="0033A0"/>
            </w:tcBorders>
          </w:tcPr>
          <w:p>
            <w:pPr>
              <w:jc w:val="right"/>
              <w:ind w:right="4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0033A0"/>
              <w:right w:val="single" w:sz="8" w:color="0033A0"/>
            </w:tcBorders>
          </w:tcPr>
          <w:p>
            <w:pPr>
              <w:jc w:val="right"/>
              <w:spacing w:after="0"/>
              <w:rPr>
                <w:sz w:val="20"/>
                <w:szCs w:val="20"/>
                <w:color w:val="auto"/>
              </w:rPr>
            </w:pPr>
            <w:r>
              <w:rPr>
                <w:rFonts w:ascii="Arial" w:cs="Arial" w:eastAsia="Arial" w:hAnsi="Arial"/>
                <w:sz w:val="14"/>
                <w:szCs w:val="14"/>
                <w:color w:val="auto"/>
              </w:rPr>
              <w:t>(47,300)</w:t>
            </w:r>
          </w:p>
        </w:tc>
        <w:tc>
          <w:tcPr>
            <w:tcW w:w="1780" w:type="dxa"/>
            <w:vAlign w:val="bottom"/>
            <w:tcBorders>
              <w:bottom w:val="single" w:sz="8" w:color="0033A0"/>
              <w:right w:val="single" w:sz="8" w:color="0033A0"/>
            </w:tcBorders>
          </w:tcPr>
          <w:p>
            <w:pPr>
              <w:jc w:val="right"/>
              <w:ind w:right="2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0033A0"/>
            </w:tcBorders>
          </w:tcPr>
          <w:p>
            <w:pPr>
              <w:jc w:val="right"/>
              <w:spacing w:after="0"/>
              <w:rPr>
                <w:sz w:val="20"/>
                <w:szCs w:val="20"/>
                <w:color w:val="auto"/>
              </w:rPr>
            </w:pPr>
            <w:r>
              <w:rPr>
                <w:rFonts w:ascii="Arial" w:cs="Arial" w:eastAsia="Arial" w:hAnsi="Arial"/>
                <w:sz w:val="14"/>
                <w:szCs w:val="14"/>
                <w:color w:val="auto"/>
              </w:rPr>
              <w:t>(568,323)</w:t>
            </w:r>
          </w:p>
        </w:tc>
      </w:tr>
      <w:tr>
        <w:trPr>
          <w:trHeight w:val="156"/>
        </w:trPr>
        <w:tc>
          <w:tcPr>
            <w:tcW w:w="480" w:type="dxa"/>
            <w:vAlign w:val="bottom"/>
            <w:tcBorders>
              <w:left w:val="single" w:sz="8" w:color="E6E6E6"/>
              <w:bottom w:val="single" w:sz="8" w:color="0033A0"/>
              <w:right w:val="single" w:sz="8" w:color="0033A0"/>
            </w:tcBorders>
            <w:shd w:val="clear" w:color="auto" w:fill="E6E6E6"/>
          </w:tcPr>
          <w:p>
            <w:pPr>
              <w:ind w:left="80"/>
              <w:spacing w:after="0" w:line="155" w:lineRule="exact"/>
              <w:rPr>
                <w:sz w:val="20"/>
                <w:szCs w:val="20"/>
                <w:color w:val="auto"/>
              </w:rPr>
            </w:pPr>
            <w:r>
              <w:rPr>
                <w:rFonts w:ascii="Arial" w:cs="Arial" w:eastAsia="Arial" w:hAnsi="Arial"/>
                <w:sz w:val="14"/>
                <w:szCs w:val="14"/>
                <w:color w:val="auto"/>
              </w:rPr>
              <w:t>2023</w:t>
            </w:r>
          </w:p>
        </w:tc>
        <w:tc>
          <w:tcPr>
            <w:tcW w:w="1820" w:type="dxa"/>
            <w:vAlign w:val="bottom"/>
            <w:tcBorders>
              <w:bottom w:val="single" w:sz="8" w:color="0033A0"/>
              <w:right w:val="single" w:sz="8" w:color="0033A0"/>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391,724</w:t>
            </w:r>
          </w:p>
        </w:tc>
        <w:tc>
          <w:tcPr>
            <w:tcW w:w="1820" w:type="dxa"/>
            <w:vAlign w:val="bottom"/>
            <w:tcBorders>
              <w:bottom w:val="single" w:sz="8" w:color="0033A0"/>
              <w:right w:val="single" w:sz="8" w:color="0033A0"/>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46,783</w:t>
            </w:r>
          </w:p>
        </w:tc>
        <w:tc>
          <w:tcPr>
            <w:tcW w:w="1780" w:type="dxa"/>
            <w:vAlign w:val="bottom"/>
            <w:tcBorders>
              <w:bottom w:val="single" w:sz="8" w:color="0033A0"/>
              <w:right w:val="single" w:sz="8" w:color="0033A0"/>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780" w:type="dxa"/>
            <w:vAlign w:val="bottom"/>
            <w:tcBorders>
              <w:bottom w:val="single" w:sz="8" w:color="0033A0"/>
              <w:right w:val="single" w:sz="8" w:color="0033A0"/>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357,261</w:t>
            </w:r>
          </w:p>
        </w:tc>
        <w:tc>
          <w:tcPr>
            <w:tcW w:w="1780" w:type="dxa"/>
            <w:vAlign w:val="bottom"/>
            <w:tcBorders>
              <w:bottom w:val="single" w:sz="8" w:color="0033A0"/>
              <w:right w:val="single" w:sz="8" w:color="0033A0"/>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780" w:type="dxa"/>
            <w:vAlign w:val="bottom"/>
            <w:tcBorders>
              <w:bottom w:val="single" w:sz="8" w:color="0033A0"/>
              <w:right w:val="single" w:sz="8" w:color="E6E6E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795,768</w:t>
            </w:r>
          </w:p>
        </w:tc>
      </w:tr>
      <w:tr>
        <w:trPr>
          <w:trHeight w:val="156"/>
        </w:trPr>
        <w:tc>
          <w:tcPr>
            <w:tcW w:w="480" w:type="dxa"/>
            <w:vAlign w:val="bottom"/>
            <w:tcBorders>
              <w:bottom w:val="single" w:sz="8" w:color="0033A0"/>
              <w:right w:val="single" w:sz="8" w:color="0033A0"/>
            </w:tcBorders>
          </w:tcPr>
          <w:p>
            <w:pPr>
              <w:ind w:left="80"/>
              <w:spacing w:after="0" w:line="155" w:lineRule="exact"/>
              <w:rPr>
                <w:sz w:val="20"/>
                <w:szCs w:val="20"/>
                <w:color w:val="auto"/>
              </w:rPr>
            </w:pPr>
            <w:r>
              <w:rPr>
                <w:rFonts w:ascii="Arial" w:cs="Arial" w:eastAsia="Arial" w:hAnsi="Arial"/>
                <w:sz w:val="14"/>
                <w:szCs w:val="14"/>
                <w:color w:val="auto"/>
              </w:rPr>
              <w:t>2022</w:t>
            </w:r>
          </w:p>
        </w:tc>
        <w:tc>
          <w:tcPr>
            <w:tcW w:w="1820" w:type="dxa"/>
            <w:vAlign w:val="bottom"/>
            <w:tcBorders>
              <w:bottom w:val="single" w:sz="8" w:color="0033A0"/>
              <w:right w:val="single" w:sz="8" w:color="0033A0"/>
            </w:tcBorders>
          </w:tcPr>
          <w:p>
            <w:pPr>
              <w:jc w:val="right"/>
              <w:ind w:right="48"/>
              <w:spacing w:after="0" w:line="155" w:lineRule="exact"/>
              <w:rPr>
                <w:sz w:val="20"/>
                <w:szCs w:val="20"/>
                <w:color w:val="auto"/>
              </w:rPr>
            </w:pPr>
            <w:r>
              <w:rPr>
                <w:rFonts w:ascii="Arial" w:cs="Arial" w:eastAsia="Arial" w:hAnsi="Arial"/>
                <w:sz w:val="14"/>
                <w:szCs w:val="14"/>
                <w:color w:val="auto"/>
              </w:rPr>
              <w:t>873,864</w:t>
            </w:r>
          </w:p>
        </w:tc>
        <w:tc>
          <w:tcPr>
            <w:tcW w:w="1820" w:type="dxa"/>
            <w:vAlign w:val="bottom"/>
            <w:tcBorders>
              <w:bottom w:val="single" w:sz="8" w:color="0033A0"/>
              <w:right w:val="single" w:sz="8" w:color="0033A0"/>
            </w:tcBorders>
          </w:tcPr>
          <w:p>
            <w:pPr>
              <w:jc w:val="right"/>
              <w:spacing w:after="0" w:line="155" w:lineRule="exact"/>
              <w:rPr>
                <w:sz w:val="20"/>
                <w:szCs w:val="20"/>
                <w:color w:val="auto"/>
              </w:rPr>
            </w:pPr>
            <w:r>
              <w:rPr>
                <w:rFonts w:ascii="Arial" w:cs="Arial" w:eastAsia="Arial" w:hAnsi="Arial"/>
                <w:sz w:val="14"/>
                <w:szCs w:val="14"/>
                <w:color w:val="auto"/>
              </w:rPr>
              <w:t>(61,393)</w:t>
            </w:r>
          </w:p>
        </w:tc>
        <w:tc>
          <w:tcPr>
            <w:tcW w:w="1780" w:type="dxa"/>
            <w:vAlign w:val="bottom"/>
            <w:tcBorders>
              <w:bottom w:val="single" w:sz="8" w:color="0033A0"/>
              <w:right w:val="single" w:sz="8" w:color="0033A0"/>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780" w:type="dxa"/>
            <w:vAlign w:val="bottom"/>
            <w:tcBorders>
              <w:bottom w:val="single" w:sz="8" w:color="0033A0"/>
              <w:right w:val="single" w:sz="8" w:color="0033A0"/>
            </w:tcBorders>
          </w:tcPr>
          <w:p>
            <w:pPr>
              <w:jc w:val="right"/>
              <w:spacing w:after="0" w:line="155" w:lineRule="exact"/>
              <w:rPr>
                <w:sz w:val="20"/>
                <w:szCs w:val="20"/>
                <w:color w:val="auto"/>
              </w:rPr>
            </w:pPr>
            <w:r>
              <w:rPr>
                <w:rFonts w:ascii="Arial" w:cs="Arial" w:eastAsia="Arial" w:hAnsi="Arial"/>
                <w:sz w:val="14"/>
                <w:szCs w:val="14"/>
                <w:color w:val="auto"/>
              </w:rPr>
              <w:t>(1,846)</w:t>
            </w:r>
          </w:p>
        </w:tc>
        <w:tc>
          <w:tcPr>
            <w:tcW w:w="1780" w:type="dxa"/>
            <w:vAlign w:val="bottom"/>
            <w:tcBorders>
              <w:bottom w:val="single" w:sz="8" w:color="0033A0"/>
              <w:right w:val="single" w:sz="8" w:color="0033A0"/>
            </w:tcBorders>
          </w:tcPr>
          <w:p>
            <w:pPr>
              <w:jc w:val="right"/>
              <w:spacing w:after="0" w:line="155" w:lineRule="exact"/>
              <w:rPr>
                <w:sz w:val="20"/>
                <w:szCs w:val="20"/>
                <w:color w:val="auto"/>
              </w:rPr>
            </w:pPr>
            <w:r>
              <w:rPr>
                <w:rFonts w:ascii="Arial" w:cs="Arial" w:eastAsia="Arial" w:hAnsi="Arial"/>
                <w:sz w:val="14"/>
                <w:szCs w:val="14"/>
                <w:color w:val="auto"/>
              </w:rPr>
              <w:t>(115,343)</w:t>
            </w:r>
          </w:p>
        </w:tc>
        <w:tc>
          <w:tcPr>
            <w:tcW w:w="1780" w:type="dxa"/>
            <w:vAlign w:val="bottom"/>
            <w:tcBorders>
              <w:bottom w:val="single" w:sz="8" w:color="0033A0"/>
            </w:tcBorders>
          </w:tcPr>
          <w:p>
            <w:pPr>
              <w:jc w:val="right"/>
              <w:ind w:right="28"/>
              <w:spacing w:after="0" w:line="155" w:lineRule="exact"/>
              <w:rPr>
                <w:sz w:val="20"/>
                <w:szCs w:val="20"/>
                <w:color w:val="auto"/>
              </w:rPr>
            </w:pPr>
            <w:r>
              <w:rPr>
                <w:rFonts w:ascii="Arial" w:cs="Arial" w:eastAsia="Arial" w:hAnsi="Arial"/>
                <w:sz w:val="14"/>
                <w:szCs w:val="14"/>
                <w:color w:val="auto"/>
              </w:rPr>
              <w:t>695,282</w:t>
            </w:r>
          </w:p>
        </w:tc>
      </w:tr>
      <w:tr>
        <w:trPr>
          <w:trHeight w:val="155"/>
        </w:trPr>
        <w:tc>
          <w:tcPr>
            <w:tcW w:w="480" w:type="dxa"/>
            <w:vAlign w:val="bottom"/>
            <w:tcBorders>
              <w:left w:val="single" w:sz="8" w:color="E6E6E6"/>
              <w:bottom w:val="single" w:sz="8" w:color="0033A0"/>
              <w:right w:val="single" w:sz="8" w:color="0033A0"/>
            </w:tcBorders>
            <w:shd w:val="clear" w:color="auto" w:fill="E6E6E6"/>
          </w:tcPr>
          <w:p>
            <w:pPr>
              <w:ind w:left="80"/>
              <w:spacing w:after="0" w:line="155" w:lineRule="exact"/>
              <w:rPr>
                <w:sz w:val="20"/>
                <w:szCs w:val="20"/>
                <w:color w:val="auto"/>
              </w:rPr>
            </w:pPr>
            <w:r>
              <w:rPr>
                <w:rFonts w:ascii="Arial" w:cs="Arial" w:eastAsia="Arial" w:hAnsi="Arial"/>
                <w:sz w:val="14"/>
                <w:szCs w:val="14"/>
                <w:color w:val="auto"/>
              </w:rPr>
              <w:t>2021</w:t>
            </w:r>
          </w:p>
        </w:tc>
        <w:tc>
          <w:tcPr>
            <w:tcW w:w="1820" w:type="dxa"/>
            <w:vAlign w:val="bottom"/>
            <w:tcBorders>
              <w:bottom w:val="single" w:sz="8" w:color="0033A0"/>
              <w:right w:val="single" w:sz="8" w:color="0033A0"/>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507,725</w:t>
            </w:r>
          </w:p>
        </w:tc>
        <w:tc>
          <w:tcPr>
            <w:tcW w:w="1820" w:type="dxa"/>
            <w:vAlign w:val="bottom"/>
            <w:tcBorders>
              <w:bottom w:val="single" w:sz="8" w:color="0033A0"/>
              <w:right w:val="single" w:sz="8" w:color="0033A0"/>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(695,566)</w:t>
            </w:r>
          </w:p>
        </w:tc>
        <w:tc>
          <w:tcPr>
            <w:tcW w:w="1780" w:type="dxa"/>
            <w:vAlign w:val="bottom"/>
            <w:tcBorders>
              <w:bottom w:val="single" w:sz="8" w:color="0033A0"/>
              <w:right w:val="single" w:sz="8" w:color="0033A0"/>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780" w:type="dxa"/>
            <w:vAlign w:val="bottom"/>
            <w:tcBorders>
              <w:bottom w:val="single" w:sz="8" w:color="0033A0"/>
              <w:right w:val="single" w:sz="8" w:color="0033A0"/>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35,734</w:t>
            </w:r>
          </w:p>
        </w:tc>
        <w:tc>
          <w:tcPr>
            <w:tcW w:w="1780" w:type="dxa"/>
            <w:vAlign w:val="bottom"/>
            <w:tcBorders>
              <w:bottom w:val="single" w:sz="8" w:color="0033A0"/>
              <w:right w:val="single" w:sz="8" w:color="0033A0"/>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780" w:type="dxa"/>
            <w:vAlign w:val="bottom"/>
            <w:tcBorders>
              <w:bottom w:val="single" w:sz="8" w:color="0033A0"/>
              <w:right w:val="single" w:sz="8" w:color="E6E6E6"/>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(152,107)</w:t>
            </w:r>
          </w:p>
        </w:tc>
      </w:tr>
      <w:tr>
        <w:trPr>
          <w:trHeight w:val="156"/>
        </w:trPr>
        <w:tc>
          <w:tcPr>
            <w:tcW w:w="480" w:type="dxa"/>
            <w:vAlign w:val="bottom"/>
            <w:tcBorders>
              <w:left w:val="single" w:sz="8" w:color="2D53A6"/>
              <w:bottom w:val="single" w:sz="8" w:color="2D53A6"/>
            </w:tcBorders>
          </w:tcPr>
          <w:p>
            <w:pPr>
              <w:ind w:left="80"/>
              <w:spacing w:after="0" w:line="155" w:lineRule="exact"/>
              <w:rPr>
                <w:sz w:val="20"/>
                <w:szCs w:val="20"/>
                <w:color w:val="auto"/>
              </w:rPr>
            </w:pPr>
            <w:r>
              <w:rPr>
                <w:rFonts w:ascii="Arial" w:cs="Arial" w:eastAsia="Arial" w:hAnsi="Arial"/>
                <w:sz w:val="14"/>
                <w:szCs w:val="14"/>
                <w:color w:val="auto"/>
              </w:rPr>
              <w:t>2020</w:t>
            </w:r>
          </w:p>
        </w:tc>
        <w:tc>
          <w:tcPr>
            <w:tcW w:w="1820" w:type="dxa"/>
            <w:vAlign w:val="bottom"/>
            <w:tcBorders>
              <w:bottom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1,653,794</w:t>
            </w:r>
          </w:p>
        </w:tc>
        <w:tc>
          <w:tcPr>
            <w:tcW w:w="1820" w:type="dxa"/>
            <w:vAlign w:val="bottom"/>
            <w:tcBorders>
              <w:bottom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967,413</w:t>
            </w:r>
          </w:p>
        </w:tc>
        <w:tc>
          <w:tcPr>
            <w:tcW w:w="1780" w:type="dxa"/>
            <w:vAlign w:val="bottom"/>
            <w:tcBorders>
              <w:bottom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780" w:type="dxa"/>
            <w:vAlign w:val="bottom"/>
            <w:tcBorders>
              <w:bottom w:val="single" w:sz="8" w:color="2D53A6"/>
            </w:tcBorders>
          </w:tcPr>
          <w:p>
            <w:pPr>
              <w:jc w:val="right"/>
              <w:spacing w:after="0" w:line="155" w:lineRule="exact"/>
              <w:rPr>
                <w:sz w:val="20"/>
                <w:szCs w:val="20"/>
                <w:color w:val="auto"/>
              </w:rPr>
            </w:pPr>
            <w:r>
              <w:rPr>
                <w:rFonts w:ascii="Arial" w:cs="Arial" w:eastAsia="Arial" w:hAnsi="Arial"/>
                <w:sz w:val="14"/>
                <w:szCs w:val="14"/>
                <w:color w:val="auto"/>
              </w:rPr>
              <w:t>(96,793)</w:t>
            </w:r>
          </w:p>
        </w:tc>
        <w:tc>
          <w:tcPr>
            <w:tcW w:w="1780" w:type="dxa"/>
            <w:vAlign w:val="bottom"/>
            <w:tcBorders>
              <w:bottom w:val="single" w:sz="8" w:color="2D53A6"/>
            </w:tcBorders>
          </w:tcPr>
          <w:p>
            <w:pPr>
              <w:jc w:val="right"/>
              <w:spacing w:after="0" w:line="155" w:lineRule="exact"/>
              <w:rPr>
                <w:sz w:val="20"/>
                <w:szCs w:val="20"/>
                <w:color w:val="auto"/>
              </w:rPr>
            </w:pPr>
            <w:r>
              <w:rPr>
                <w:rFonts w:ascii="Arial" w:cs="Arial" w:eastAsia="Arial" w:hAnsi="Arial"/>
                <w:sz w:val="14"/>
                <w:szCs w:val="14"/>
                <w:color w:val="auto"/>
              </w:rPr>
              <w:t>(32,097)</w:t>
            </w:r>
          </w:p>
        </w:tc>
        <w:tc>
          <w:tcPr>
            <w:tcW w:w="178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2,492,317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-569595</wp:posOffset>
            </wp:positionV>
            <wp:extent cx="34290" cy="4711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7117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-569595</wp:posOffset>
            </wp:positionV>
            <wp:extent cx="33655" cy="4711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71170"/>
                    </a:xfrm>
                    <a:prstGeom prst="rect">
                      <a:avLst/>
                    </a:prstGeom>
                    <a:noFill/>
                  </pic:spPr>
                </pic:pic>
              </a:graphicData>
            </a:graphic>
          </wp:anchor>
        </w:drawing>
        <w:drawing>
          <wp:anchor simplePos="0" relativeHeight="251657728" behindDoc="1" locked="0" layoutInCell="0" allowOverlap="1">
            <wp:simplePos x="0" y="0"/>
            <wp:positionH relativeFrom="column">
              <wp:posOffset>274955</wp:posOffset>
            </wp:positionH>
            <wp:positionV relativeFrom="paragraph">
              <wp:posOffset>-123825</wp:posOffset>
            </wp:positionV>
            <wp:extent cx="33655"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137160"/>
                    </a:xfrm>
                    <a:prstGeom prst="rect">
                      <a:avLst/>
                    </a:prstGeom>
                    <a:noFill/>
                  </pic:spPr>
                </pic:pic>
              </a:graphicData>
            </a:graphic>
          </wp:anchor>
        </w:drawing>
        <w:drawing>
          <wp:anchor simplePos="0" relativeHeight="251657728" behindDoc="1" locked="0" layoutInCell="0" allowOverlap="1">
            <wp:simplePos x="0" y="0"/>
            <wp:positionH relativeFrom="column">
              <wp:posOffset>1440815</wp:posOffset>
            </wp:positionH>
            <wp:positionV relativeFrom="paragraph">
              <wp:posOffset>-123825</wp:posOffset>
            </wp:positionV>
            <wp:extent cx="33655"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137160"/>
                    </a:xfrm>
                    <a:prstGeom prst="rect">
                      <a:avLst/>
                    </a:prstGeom>
                    <a:noFill/>
                  </pic:spPr>
                </pic:pic>
              </a:graphicData>
            </a:graphic>
          </wp:anchor>
        </w:drawing>
        <w:drawing>
          <wp:anchor simplePos="0" relativeHeight="251657728" behindDoc="1" locked="0" layoutInCell="0" allowOverlap="1">
            <wp:simplePos x="0" y="0"/>
            <wp:positionH relativeFrom="column">
              <wp:posOffset>2589530</wp:posOffset>
            </wp:positionH>
            <wp:positionV relativeFrom="paragraph">
              <wp:posOffset>-123825</wp:posOffset>
            </wp:positionV>
            <wp:extent cx="3429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13716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-123825</wp:posOffset>
            </wp:positionV>
            <wp:extent cx="33655"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137160"/>
                    </a:xfrm>
                    <a:prstGeom prst="rect">
                      <a:avLst/>
                    </a:prstGeom>
                    <a:noFill/>
                  </pic:spPr>
                </pic:pic>
              </a:graphicData>
            </a:graphic>
          </wp:anchor>
        </w:drawing>
        <w:drawing>
          <wp:anchor simplePos="0" relativeHeight="251657728" behindDoc="1" locked="0" layoutInCell="0" allowOverlap="1">
            <wp:simplePos x="0" y="0"/>
            <wp:positionH relativeFrom="column">
              <wp:posOffset>4852670</wp:posOffset>
            </wp:positionH>
            <wp:positionV relativeFrom="paragraph">
              <wp:posOffset>-123825</wp:posOffset>
            </wp:positionV>
            <wp:extent cx="33655"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137160"/>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-123825</wp:posOffset>
            </wp:positionV>
            <wp:extent cx="33655"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13716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2024 Tabular List of Financial Performance Measures</w:t>
      </w:r>
    </w:p>
    <w:p>
      <w:pPr>
        <w:spacing w:after="0" w:line="20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As described in greater detail in the CD&amp;A, Cohu’s executive compensation program reflects a variable pay-for-performance philosophy. The metrics used for both our long-term and short-term incentive programs are selected to incentivize our NEOs to increase the value of our enterprise to our stockholders. We use three financial performance measures to determine the compensation of our CEO and all other NEOs as discussed in the CD&amp;A above. The most important financial performance measures used by Cohu to link executive compensation actually paid to the NEOs for the most recently completed fiscal year are:</w:t>
      </w:r>
    </w:p>
    <w:p>
      <w:pPr>
        <w:spacing w:after="0" w:line="163" w:lineRule="exact"/>
        <w:rPr>
          <w:sz w:val="20"/>
          <w:szCs w:val="20"/>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Relative Total Stockholder Return (RTSR) of Cohu stock versus the Russel 2000 Index</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Non-GAAP Pretax Income</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Four-year Rolling Sales Growth</w:t>
      </w:r>
    </w:p>
    <w:p>
      <w:pPr>
        <w:spacing w:after="0" w:line="23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Non-GAAP Pretax Income and the Four-year Rolling Sales metrics are used to determine the Short-Term Incentive Program and the RTSR versus the Russel 2000 Index is used in the to determine the Long-Term Incentive Program earned Performance Share Units. These two programs determine a significant proportion of our CEO and other NEO’s annual compensation earned.</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Relationship of Financial Performance Measures to Compensation Actually Paid</w:t>
      </w:r>
    </w:p>
    <w:p>
      <w:pPr>
        <w:spacing w:after="0" w:line="202" w:lineRule="exact"/>
        <w:rPr>
          <w:sz w:val="20"/>
          <w:szCs w:val="20"/>
          <w:color w:val="auto"/>
        </w:rPr>
      </w:pPr>
    </w:p>
    <w:p>
      <w:pPr>
        <w:ind w:right="300"/>
        <w:spacing w:after="0" w:line="242" w:lineRule="auto"/>
        <w:rPr>
          <w:sz w:val="20"/>
          <w:szCs w:val="20"/>
          <w:color w:val="auto"/>
        </w:rPr>
      </w:pPr>
      <w:r>
        <w:rPr>
          <w:rFonts w:ascii="Arial" w:cs="Arial" w:eastAsia="Arial" w:hAnsi="Arial"/>
          <w:sz w:val="18"/>
          <w:szCs w:val="18"/>
          <w:color w:val="auto"/>
        </w:rPr>
        <w:t>These financial performance measures are not all reflected in the Pay versus Performance table above and as Cohu generally seeks to incentivize long-term performance, we do not specifically align performance measures with compensation actually paid (as computed in accordance with Item 402(v) of Regulation S-K) for a particular year. As the table and subsequent charts show, the required equity adjustments to determine CAP results in yearly swings in CAP levels that are heavily influenced by timing of past equity awards and stock price fluctuations rather than actual company or executive performance in any given year. We are providing the following required descriptions of the relationships between information presented in the Pay versus Performance table.</w:t>
      </w:r>
    </w:p>
    <w:p>
      <w:pPr>
        <w:spacing w:after="0" w:line="165"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We selected our Comparative Stock Performance Graph custom Peer Group Index for the Cumulative TSR metric as it is comprised from companies within our industry and we believe reflects an appropriate comparison group for executive compensation. As discussed above, due to one of the Peer Group companies being acquired in 2024, we are illustrating both the historical Peer Group Index Cumulative TSR and the current Peer Group Index Cumulative TSR. Cohu’s Cumulative TSR (calculated assuming a $100 investment in Cohu’s common stock, on December 29, 2019) has outperformed our current peer group for two of the five years being compared. There does not appear to be a direct correlation between the performance of Cumulative TSR to CAP as discussed above.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146050</wp:posOffset>
            </wp:positionV>
            <wp:extent cx="5366385" cy="3068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366385"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Cohu does not use GAAP Net Income in determining compensation paid to any of our CEO and other NEOs. This data is reported to comply with the requirements of Item 402(v)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100965</wp:posOffset>
            </wp:positionV>
            <wp:extent cx="5160645" cy="28117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6064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Cohu uses its results in non-GAAP pretax income to determine 70% of the compensation earned under the STI plan as Short-Term Incentive Plan section of the CD&amp;A. We selected this metric as we feel it has the most direct impact on compensation levels earned by our CEO and other NEOs. Cohu’s non-GAAP pretax income performance exceeded the target level of 15% in three of the four years presented below. While there is a general directional relationship of CAP to the performance of non-GAAP pretax income, the amplitude of CAP does not appear to have a direct correlation to the level of non-GAAP pretax income for the reasons discussed above.</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454660</wp:posOffset>
            </wp:positionV>
            <wp:extent cx="5092065" cy="2451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09206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2024 CEO Pay Ratio</w:t>
      </w:r>
    </w:p>
    <w:p>
      <w:pPr>
        <w:spacing w:after="0" w:line="200" w:lineRule="exact"/>
        <w:rPr>
          <w:sz w:val="20"/>
          <w:szCs w:val="20"/>
          <w:color w:val="auto"/>
        </w:rPr>
      </w:pPr>
    </w:p>
    <w:p>
      <w:pPr>
        <w:spacing w:after="0" w:line="245" w:lineRule="exact"/>
        <w:rPr>
          <w:sz w:val="20"/>
          <w:szCs w:val="20"/>
          <w:color w:val="auto"/>
        </w:rPr>
      </w:pPr>
    </w:p>
    <w:p>
      <w:pPr>
        <w:ind w:right="960"/>
        <w:spacing w:after="0" w:line="271" w:lineRule="auto"/>
        <w:rPr>
          <w:sz w:val="20"/>
          <w:szCs w:val="20"/>
          <w:color w:val="auto"/>
        </w:rPr>
      </w:pPr>
      <w:r>
        <w:rPr>
          <w:rFonts w:ascii="Arial" w:cs="Arial" w:eastAsia="Arial" w:hAnsi="Arial"/>
          <w:sz w:val="18"/>
          <w:szCs w:val="18"/>
          <w:color w:val="auto"/>
        </w:rPr>
        <w:t>As required by Item 402(u) of Regulation S-K, we are providing the following information about the relationship of the annual total compensation of our employees and the annual total compensation of Dr. Luis Müller, our CEO.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2024, our last completed fiscal year:</w:t>
      </w:r>
    </w:p>
    <w:p>
      <w:pPr>
        <w:spacing w:after="0" w:line="14"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our CEO), was $27,878; and</w:t>
      </w:r>
    </w:p>
    <w:p>
      <w:pPr>
        <w:spacing w:after="0" w:line="18" w:lineRule="exact"/>
        <w:rPr>
          <w:rFonts w:ascii="Arial" w:cs="Arial" w:eastAsia="Arial" w:hAnsi="Arial"/>
          <w:sz w:val="18"/>
          <w:szCs w:val="18"/>
          <w:color w:val="auto"/>
        </w:rPr>
      </w:pPr>
    </w:p>
    <w:p>
      <w:pPr>
        <w:ind w:left="660" w:right="400" w:hanging="328"/>
        <w:spacing w:after="0" w:line="271"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annual total compensation of our CEO, as reported in the Summary Compensation Table presented elsewhere in this Proxy Statement, was $4,831,084.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7715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771525"/>
                    </a:xfrm>
                    <a:prstGeom prst="rect">
                      <a:avLst/>
                    </a:prstGeom>
                    <a:noFill/>
                  </pic:spPr>
                </pic:pic>
              </a:graphicData>
            </a:graphic>
          </wp:anchor>
        </w:drawing>
      </w:r>
    </w:p>
    <w:p>
      <w:pPr>
        <w:spacing w:after="0" w:line="353" w:lineRule="exact"/>
        <w:rPr>
          <w:sz w:val="20"/>
          <w:szCs w:val="20"/>
          <w:color w:val="auto"/>
        </w:rPr>
      </w:pPr>
    </w:p>
    <w:p>
      <w:pPr>
        <w:jc w:val="center"/>
        <w:ind w:right="20"/>
        <w:spacing w:after="0" w:line="251" w:lineRule="auto"/>
        <w:rPr>
          <w:sz w:val="20"/>
          <w:szCs w:val="20"/>
          <w:color w:val="auto"/>
        </w:rPr>
      </w:pPr>
      <w:r>
        <w:rPr>
          <w:rFonts w:ascii="Arial" w:cs="Arial" w:eastAsia="Arial" w:hAnsi="Arial"/>
          <w:sz w:val="22"/>
          <w:szCs w:val="22"/>
          <w:b w:val="1"/>
          <w:bCs w:val="1"/>
          <w:color w:val="FFFFFF"/>
        </w:rPr>
        <w:t>Based on this information, for 2024 the ratio of the annual total compensation of Dr. M</w:t>
      </w:r>
      <w:r>
        <w:rPr>
          <w:rFonts w:ascii="Arial" w:cs="Arial" w:eastAsia="Arial" w:hAnsi="Arial"/>
          <w:sz w:val="22"/>
          <w:szCs w:val="22"/>
          <w:color w:val="FFFFFF"/>
        </w:rPr>
        <w:t>ü</w:t>
      </w:r>
      <w:r>
        <w:rPr>
          <w:rFonts w:ascii="Arial" w:cs="Arial" w:eastAsia="Arial" w:hAnsi="Arial"/>
          <w:sz w:val="22"/>
          <w:szCs w:val="22"/>
          <w:b w:val="1"/>
          <w:bCs w:val="1"/>
          <w:color w:val="FFFFFF"/>
        </w:rPr>
        <w:t>ller, our CEO, to the median of the annual total compensation of all our employees was 173 to 1.</w:t>
      </w:r>
    </w:p>
    <w:p>
      <w:pPr>
        <w:spacing w:after="0" w:line="200" w:lineRule="exact"/>
        <w:rPr>
          <w:sz w:val="20"/>
          <w:szCs w:val="20"/>
          <w:color w:val="auto"/>
        </w:rPr>
      </w:pPr>
    </w:p>
    <w:p>
      <w:pPr>
        <w:spacing w:after="0" w:line="23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believe that this pay ratio is a reasonable estimate calculated in a manner consistent with SEC rules based on our payroll and employment records and the methodology described below.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7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To identify the median compensated employee in 2022, we determined that, as of November 1, 2022, our employee population consisted of approximately 3,140 individuals globally, with 20% of these individuals located in the Americas (primarily in the U.S.), 13% located in Europe (primarily in Germany and Switzerland), and 67% located in Asia (primarily in Malaysia and the Philippines). For the purposes of establishing the median total compensation of all employees in 2024, we determined that the balance of the global workforce remained substantially similar to 2022 and therefore, as allowed under applicable SEC rules, for 2024 we used the same median compensated employee as we had identified in 2022.</w:t>
      </w:r>
    </w:p>
    <w:p>
      <w:pPr>
        <w:spacing w:after="0" w:line="16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selected November 1, 2022, which is within the last three months of 2022, as the date upon which we would identify the “median employee” to allow sufficient time to identify the median employee given the global scope of our operations. We excluded equity compensation as a factor in identifying the median employee as less than 10% of our employee population receives equity grants as part of their compensation. Additionally, we used forecasted 2022 compensation (actual compensation paid January through October 2022 plus estimated compensation for November through December 2022) based on salary or wages, overtime pay, monthly allowances, statutory bonuses, and incentive pay received. Due to the geographical distribution of our employee populations, we also excluded social program contributions and other benefits as these vary greatly from country to country.</w:t>
      </w:r>
    </w:p>
    <w:p>
      <w:pPr>
        <w:sectPr>
          <w:pgSz w:w="11900" w:h="16838" w:orient="portrait"/>
          <w:cols w:equalWidth="0" w:num="1">
            <w:col w:w="11220"/>
          </w:cols>
          <w:pgMar w:left="320" w:top="122" w:right="35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Using this methodology, we determined that the “median employee” was a full-time, salaried employee located in Malaysia. The median employee’s actual annual total compensation for the 12-month period ending December 31, 2024, was $27,878. This amount includes all wages, overtime pay, statutory and variable incentive payments, allowances and localized personal benefits converted to U.S. Dollars.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2024 Grants of Plan-Based Awards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following table shows all plan-based awards granted to our NEOs during fiscal year 2024, which ended on December 28, 2024. The stock awards identified in the table below are also reported in the “Outstanding Equity Awards on December 28, 2024” table included herein. Cohu did not grant any stock options to NEOs under the 2005 Plan in fiscal year 2024.</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40" w:type="dxa"/>
            <w:vAlign w:val="bottom"/>
            <w:tcBorders>
              <w:left w:val="single" w:sz="8" w:color="2D53A6"/>
              <w:right w:val="single" w:sz="8" w:color="2D53A6"/>
            </w:tcBorders>
            <w:shd w:val="clear" w:color="auto" w:fill="2D53A6"/>
          </w:tcPr>
          <w:p>
            <w:pPr>
              <w:spacing w:after="0"/>
              <w:rPr>
                <w:sz w:val="14"/>
                <w:szCs w:val="14"/>
                <w:color w:val="auto"/>
              </w:rPr>
            </w:pPr>
          </w:p>
        </w:tc>
        <w:tc>
          <w:tcPr>
            <w:tcW w:w="1440" w:type="dxa"/>
            <w:vAlign w:val="bottom"/>
            <w:shd w:val="clear" w:color="auto" w:fill="2D53A6"/>
          </w:tcPr>
          <w:p>
            <w:pPr>
              <w:spacing w:after="0"/>
              <w:rPr>
                <w:sz w:val="14"/>
                <w:szCs w:val="14"/>
                <w:color w:val="auto"/>
              </w:rPr>
            </w:pPr>
          </w:p>
        </w:tc>
        <w:tc>
          <w:tcPr>
            <w:tcW w:w="200" w:type="dxa"/>
            <w:vAlign w:val="bottom"/>
            <w:tcBorders>
              <w:right w:val="single" w:sz="8" w:color="2D53A6"/>
            </w:tcBorders>
            <w:shd w:val="clear" w:color="auto" w:fill="2D53A6"/>
          </w:tcPr>
          <w:p>
            <w:pPr>
              <w:spacing w:after="0"/>
              <w:rPr>
                <w:sz w:val="14"/>
                <w:szCs w:val="14"/>
                <w:color w:val="auto"/>
              </w:rPr>
            </w:pPr>
          </w:p>
        </w:tc>
        <w:tc>
          <w:tcPr>
            <w:tcW w:w="760" w:type="dxa"/>
            <w:vAlign w:val="bottom"/>
            <w:shd w:val="clear" w:color="auto" w:fill="2D53A6"/>
          </w:tcPr>
          <w:p>
            <w:pPr>
              <w:spacing w:after="0"/>
              <w:rPr>
                <w:sz w:val="14"/>
                <w:szCs w:val="14"/>
                <w:color w:val="auto"/>
              </w:rPr>
            </w:pPr>
          </w:p>
        </w:tc>
        <w:tc>
          <w:tcPr>
            <w:tcW w:w="100" w:type="dxa"/>
            <w:vAlign w:val="bottom"/>
            <w:tcBorders>
              <w:right w:val="single" w:sz="8" w:color="2D53A6"/>
            </w:tcBorders>
            <w:shd w:val="clear" w:color="auto" w:fill="2D53A6"/>
          </w:tcPr>
          <w:p>
            <w:pPr>
              <w:spacing w:after="0"/>
              <w:rPr>
                <w:sz w:val="14"/>
                <w:szCs w:val="14"/>
                <w:color w:val="auto"/>
              </w:rPr>
            </w:pPr>
          </w:p>
        </w:tc>
        <w:tc>
          <w:tcPr>
            <w:tcW w:w="120" w:type="dxa"/>
            <w:vAlign w:val="bottom"/>
            <w:shd w:val="clear" w:color="auto" w:fill="2D53A6"/>
          </w:tcPr>
          <w:p>
            <w:pPr>
              <w:spacing w:after="0"/>
              <w:rPr>
                <w:sz w:val="14"/>
                <w:szCs w:val="14"/>
                <w:color w:val="auto"/>
              </w:rPr>
            </w:pPr>
          </w:p>
        </w:tc>
        <w:tc>
          <w:tcPr>
            <w:tcW w:w="2800" w:type="dxa"/>
            <w:vAlign w:val="bottom"/>
            <w:tcBorders>
              <w:right w:val="single" w:sz="8" w:color="2D53A6"/>
            </w:tcBorders>
            <w:gridSpan w:val="4"/>
            <w:vMerge w:val="restart"/>
            <w:shd w:val="clear" w:color="auto" w:fill="2D53A6"/>
          </w:tcPr>
          <w:p>
            <w:pPr>
              <w:jc w:val="center"/>
              <w:ind w:right="68"/>
              <w:spacing w:after="0"/>
              <w:rPr>
                <w:sz w:val="20"/>
                <w:szCs w:val="20"/>
                <w:color w:val="auto"/>
              </w:rPr>
            </w:pPr>
            <w:r>
              <w:rPr>
                <w:rFonts w:ascii="Arial" w:cs="Arial" w:eastAsia="Arial" w:hAnsi="Arial"/>
                <w:sz w:val="14"/>
                <w:szCs w:val="14"/>
                <w:b w:val="1"/>
                <w:bCs w:val="1"/>
                <w:color w:val="FFFFFF"/>
              </w:rPr>
              <w:t>Estimated Future Payouts</w:t>
            </w:r>
          </w:p>
        </w:tc>
        <w:tc>
          <w:tcPr>
            <w:tcW w:w="940" w:type="dxa"/>
            <w:vAlign w:val="bottom"/>
            <w:tcBorders>
              <w:right w:val="single" w:sz="8" w:color="2D53A6"/>
            </w:tcBorders>
            <w:shd w:val="clear" w:color="auto" w:fill="2D53A6"/>
          </w:tcPr>
          <w:p>
            <w:pPr>
              <w:spacing w:after="0"/>
              <w:rPr>
                <w:sz w:val="14"/>
                <w:szCs w:val="14"/>
                <w:color w:val="auto"/>
              </w:rPr>
            </w:pPr>
          </w:p>
        </w:tc>
        <w:tc>
          <w:tcPr>
            <w:tcW w:w="980" w:type="dxa"/>
            <w:vAlign w:val="bottom"/>
            <w:tcBorders>
              <w:right w:val="single" w:sz="8" w:color="2D53A6"/>
            </w:tcBorders>
            <w:shd w:val="clear" w:color="auto" w:fill="2D53A6"/>
          </w:tcPr>
          <w:p>
            <w:pPr>
              <w:spacing w:after="0"/>
              <w:rPr>
                <w:sz w:val="14"/>
                <w:szCs w:val="14"/>
                <w:color w:val="auto"/>
              </w:rPr>
            </w:pPr>
          </w:p>
        </w:tc>
        <w:tc>
          <w:tcPr>
            <w:tcW w:w="980" w:type="dxa"/>
            <w:vAlign w:val="bottom"/>
            <w:tcBorders>
              <w:right w:val="single" w:sz="8" w:color="2D53A6"/>
            </w:tcBorders>
            <w:shd w:val="clear" w:color="auto" w:fill="2D53A6"/>
          </w:tcPr>
          <w:p>
            <w:pPr>
              <w:spacing w:after="0"/>
              <w:rPr>
                <w:sz w:val="14"/>
                <w:szCs w:val="14"/>
                <w:color w:val="auto"/>
              </w:rPr>
            </w:pPr>
          </w:p>
        </w:tc>
        <w:tc>
          <w:tcPr>
            <w:tcW w:w="200" w:type="dxa"/>
            <w:vAlign w:val="bottom"/>
            <w:shd w:val="clear" w:color="auto" w:fill="2D53A6"/>
          </w:tcPr>
          <w:p>
            <w:pPr>
              <w:spacing w:after="0"/>
              <w:rPr>
                <w:sz w:val="14"/>
                <w:szCs w:val="14"/>
                <w:color w:val="auto"/>
              </w:rPr>
            </w:pPr>
          </w:p>
        </w:tc>
        <w:tc>
          <w:tcPr>
            <w:tcW w:w="760" w:type="dxa"/>
            <w:vAlign w:val="bottom"/>
            <w:shd w:val="clear" w:color="auto" w:fill="2D53A6"/>
          </w:tcPr>
          <w:p>
            <w:pPr>
              <w:jc w:val="center"/>
              <w:spacing w:after="0"/>
              <w:rPr>
                <w:sz w:val="20"/>
                <w:szCs w:val="20"/>
                <w:color w:val="auto"/>
              </w:rPr>
            </w:pPr>
            <w:r>
              <w:rPr>
                <w:rFonts w:ascii="Arial" w:cs="Arial" w:eastAsia="Arial" w:hAnsi="Arial"/>
                <w:sz w:val="14"/>
                <w:szCs w:val="14"/>
                <w:b w:val="1"/>
                <w:bCs w:val="1"/>
                <w:color w:val="FFFFFF"/>
              </w:rPr>
              <w:t>All</w:t>
            </w:r>
          </w:p>
        </w:tc>
        <w:tc>
          <w:tcPr>
            <w:tcW w:w="120" w:type="dxa"/>
            <w:vAlign w:val="bottom"/>
            <w:tcBorders>
              <w:right w:val="single" w:sz="8" w:color="2D53A6"/>
            </w:tcBorders>
            <w:shd w:val="clear" w:color="auto" w:fill="2D53A6"/>
          </w:tcPr>
          <w:p>
            <w:pPr>
              <w:spacing w:after="0"/>
              <w:rPr>
                <w:sz w:val="14"/>
                <w:szCs w:val="14"/>
                <w:color w:val="auto"/>
              </w:rPr>
            </w:pPr>
          </w:p>
        </w:tc>
        <w:tc>
          <w:tcPr>
            <w:tcW w:w="180" w:type="dxa"/>
            <w:vAlign w:val="bottom"/>
            <w:shd w:val="clear" w:color="auto" w:fill="2D53A6"/>
          </w:tcPr>
          <w:p>
            <w:pPr>
              <w:spacing w:after="0"/>
              <w:rPr>
                <w:sz w:val="14"/>
                <w:szCs w:val="14"/>
                <w:color w:val="auto"/>
              </w:rPr>
            </w:pPr>
          </w:p>
        </w:tc>
        <w:tc>
          <w:tcPr>
            <w:tcW w:w="820" w:type="dxa"/>
            <w:vAlign w:val="bottom"/>
            <w:tcBorders>
              <w:right w:val="single" w:sz="8" w:color="2D53A6"/>
            </w:tcBorders>
            <w:shd w:val="clear" w:color="auto" w:fill="2D53A6"/>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40" w:type="dxa"/>
            <w:vAlign w:val="bottom"/>
            <w:tcBorders>
              <w:left w:val="single" w:sz="8" w:color="2D53A6"/>
              <w:right w:val="single" w:sz="8" w:color="2D53A6"/>
            </w:tcBorders>
            <w:shd w:val="clear" w:color="auto" w:fill="2D53A6"/>
          </w:tcPr>
          <w:p>
            <w:pPr>
              <w:spacing w:after="0"/>
              <w:rPr>
                <w:sz w:val="11"/>
                <w:szCs w:val="11"/>
                <w:color w:val="auto"/>
              </w:rPr>
            </w:pPr>
          </w:p>
        </w:tc>
        <w:tc>
          <w:tcPr>
            <w:tcW w:w="1440" w:type="dxa"/>
            <w:vAlign w:val="bottom"/>
            <w:shd w:val="clear" w:color="auto" w:fill="2D53A6"/>
          </w:tcPr>
          <w:p>
            <w:pPr>
              <w:spacing w:after="0"/>
              <w:rPr>
                <w:sz w:val="11"/>
                <w:szCs w:val="11"/>
                <w:color w:val="auto"/>
              </w:rPr>
            </w:pPr>
          </w:p>
        </w:tc>
        <w:tc>
          <w:tcPr>
            <w:tcW w:w="200" w:type="dxa"/>
            <w:vAlign w:val="bottom"/>
            <w:tcBorders>
              <w:right w:val="single" w:sz="8" w:color="2D53A6"/>
            </w:tcBorders>
            <w:shd w:val="clear" w:color="auto" w:fill="2D53A6"/>
          </w:tcPr>
          <w:p>
            <w:pPr>
              <w:spacing w:after="0"/>
              <w:rPr>
                <w:sz w:val="11"/>
                <w:szCs w:val="11"/>
                <w:color w:val="auto"/>
              </w:rPr>
            </w:pPr>
          </w:p>
        </w:tc>
        <w:tc>
          <w:tcPr>
            <w:tcW w:w="760" w:type="dxa"/>
            <w:vAlign w:val="bottom"/>
            <w:shd w:val="clear" w:color="auto" w:fill="2D53A6"/>
          </w:tcPr>
          <w:p>
            <w:pPr>
              <w:spacing w:after="0"/>
              <w:rPr>
                <w:sz w:val="11"/>
                <w:szCs w:val="11"/>
                <w:color w:val="auto"/>
              </w:rPr>
            </w:pPr>
          </w:p>
        </w:tc>
        <w:tc>
          <w:tcPr>
            <w:tcW w:w="100" w:type="dxa"/>
            <w:vAlign w:val="bottom"/>
            <w:tcBorders>
              <w:right w:val="single" w:sz="8" w:color="2D53A6"/>
            </w:tcBorders>
            <w:shd w:val="clear" w:color="auto" w:fill="2D53A6"/>
          </w:tcPr>
          <w:p>
            <w:pPr>
              <w:spacing w:after="0"/>
              <w:rPr>
                <w:sz w:val="11"/>
                <w:szCs w:val="11"/>
                <w:color w:val="auto"/>
              </w:rPr>
            </w:pPr>
          </w:p>
        </w:tc>
        <w:tc>
          <w:tcPr>
            <w:tcW w:w="120" w:type="dxa"/>
            <w:vAlign w:val="bottom"/>
            <w:shd w:val="clear" w:color="auto" w:fill="2D53A6"/>
          </w:tcPr>
          <w:p>
            <w:pPr>
              <w:spacing w:after="0"/>
              <w:rPr>
                <w:sz w:val="11"/>
                <w:szCs w:val="11"/>
                <w:color w:val="auto"/>
              </w:rPr>
            </w:pPr>
          </w:p>
        </w:tc>
        <w:tc>
          <w:tcPr>
            <w:tcW w:w="2800" w:type="dxa"/>
            <w:vAlign w:val="bottom"/>
            <w:tcBorders>
              <w:right w:val="single" w:sz="8" w:color="2D53A6"/>
            </w:tcBorders>
            <w:gridSpan w:val="4"/>
            <w:vMerge w:val="continue"/>
            <w:shd w:val="clear" w:color="auto" w:fill="2D53A6"/>
          </w:tcPr>
          <w:p>
            <w:pPr>
              <w:spacing w:after="0"/>
              <w:rPr>
                <w:sz w:val="11"/>
                <w:szCs w:val="11"/>
                <w:color w:val="auto"/>
              </w:rPr>
            </w:pPr>
          </w:p>
        </w:tc>
        <w:tc>
          <w:tcPr>
            <w:tcW w:w="2900" w:type="dxa"/>
            <w:vAlign w:val="bottom"/>
            <w:tcBorders>
              <w:right w:val="single" w:sz="8" w:color="2D53A6"/>
            </w:tcBorders>
            <w:gridSpan w:val="3"/>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200" w:type="dxa"/>
            <w:vAlign w:val="bottom"/>
            <w:shd w:val="clear" w:color="auto" w:fill="2D53A6"/>
          </w:tcPr>
          <w:p>
            <w:pPr>
              <w:spacing w:after="0"/>
              <w:rPr>
                <w:sz w:val="11"/>
                <w:szCs w:val="11"/>
                <w:color w:val="auto"/>
              </w:rPr>
            </w:pPr>
          </w:p>
        </w:tc>
        <w:tc>
          <w:tcPr>
            <w:tcW w:w="760" w:type="dxa"/>
            <w:vAlign w:val="bottom"/>
            <w:shd w:val="clear" w:color="auto" w:fill="2D53A6"/>
          </w:tcPr>
          <w:p>
            <w:pPr>
              <w:jc w:val="center"/>
              <w:spacing w:after="0" w:line="135" w:lineRule="exact"/>
              <w:rPr>
                <w:sz w:val="20"/>
                <w:szCs w:val="20"/>
                <w:color w:val="auto"/>
              </w:rPr>
            </w:pPr>
            <w:r>
              <w:rPr>
                <w:rFonts w:ascii="Arial" w:cs="Arial" w:eastAsia="Arial" w:hAnsi="Arial"/>
                <w:sz w:val="14"/>
                <w:szCs w:val="14"/>
                <w:b w:val="1"/>
                <w:bCs w:val="1"/>
                <w:color w:val="FFFFFF"/>
              </w:rPr>
              <w:t>Other</w:t>
            </w:r>
          </w:p>
        </w:tc>
        <w:tc>
          <w:tcPr>
            <w:tcW w:w="120" w:type="dxa"/>
            <w:vAlign w:val="bottom"/>
            <w:tcBorders>
              <w:right w:val="single" w:sz="8" w:color="2D53A6"/>
            </w:tcBorders>
            <w:shd w:val="clear" w:color="auto" w:fill="2D53A6"/>
          </w:tcPr>
          <w:p>
            <w:pPr>
              <w:spacing w:after="0"/>
              <w:rPr>
                <w:sz w:val="11"/>
                <w:szCs w:val="11"/>
                <w:color w:val="auto"/>
              </w:rPr>
            </w:pPr>
          </w:p>
        </w:tc>
        <w:tc>
          <w:tcPr>
            <w:tcW w:w="180" w:type="dxa"/>
            <w:vAlign w:val="bottom"/>
            <w:shd w:val="clear" w:color="auto" w:fill="2D53A6"/>
          </w:tcPr>
          <w:p>
            <w:pPr>
              <w:spacing w:after="0"/>
              <w:rPr>
                <w:sz w:val="11"/>
                <w:szCs w:val="11"/>
                <w:color w:val="auto"/>
              </w:rPr>
            </w:pPr>
          </w:p>
        </w:tc>
        <w:tc>
          <w:tcPr>
            <w:tcW w:w="8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Grant</w:t>
            </w:r>
          </w:p>
        </w:tc>
        <w:tc>
          <w:tcPr>
            <w:tcW w:w="0" w:type="dxa"/>
            <w:vAlign w:val="bottom"/>
          </w:tcPr>
          <w:p>
            <w:pPr>
              <w:spacing w:after="0"/>
              <w:rPr>
                <w:sz w:val="1"/>
                <w:szCs w:val="1"/>
                <w:color w:val="auto"/>
              </w:rPr>
            </w:pPr>
          </w:p>
        </w:tc>
      </w:tr>
      <w:tr>
        <w:trPr>
          <w:trHeight w:val="81"/>
        </w:trPr>
        <w:tc>
          <w:tcPr>
            <w:tcW w:w="840" w:type="dxa"/>
            <w:vAlign w:val="bottom"/>
            <w:tcBorders>
              <w:left w:val="single" w:sz="8" w:color="2D53A6"/>
              <w:right w:val="single" w:sz="8" w:color="2D53A6"/>
            </w:tcBorders>
            <w:shd w:val="clear" w:color="auto" w:fill="2D53A6"/>
          </w:tcPr>
          <w:p>
            <w:pPr>
              <w:spacing w:after="0"/>
              <w:rPr>
                <w:sz w:val="7"/>
                <w:szCs w:val="7"/>
                <w:color w:val="auto"/>
              </w:rPr>
            </w:pPr>
          </w:p>
        </w:tc>
        <w:tc>
          <w:tcPr>
            <w:tcW w:w="1440" w:type="dxa"/>
            <w:vAlign w:val="bottom"/>
            <w:shd w:val="clear" w:color="auto" w:fill="2D53A6"/>
          </w:tcPr>
          <w:p>
            <w:pPr>
              <w:spacing w:after="0"/>
              <w:rPr>
                <w:sz w:val="7"/>
                <w:szCs w:val="7"/>
                <w:color w:val="auto"/>
              </w:rPr>
            </w:pPr>
          </w:p>
        </w:tc>
        <w:tc>
          <w:tcPr>
            <w:tcW w:w="200" w:type="dxa"/>
            <w:vAlign w:val="bottom"/>
            <w:tcBorders>
              <w:right w:val="single" w:sz="8" w:color="2D53A6"/>
            </w:tcBorders>
            <w:shd w:val="clear" w:color="auto" w:fill="2D53A6"/>
          </w:tcPr>
          <w:p>
            <w:pPr>
              <w:spacing w:after="0"/>
              <w:rPr>
                <w:sz w:val="7"/>
                <w:szCs w:val="7"/>
                <w:color w:val="auto"/>
              </w:rPr>
            </w:pPr>
          </w:p>
        </w:tc>
        <w:tc>
          <w:tcPr>
            <w:tcW w:w="760" w:type="dxa"/>
            <w:vAlign w:val="bottom"/>
            <w:shd w:val="clear" w:color="auto" w:fill="2D53A6"/>
          </w:tcPr>
          <w:p>
            <w:pPr>
              <w:spacing w:after="0"/>
              <w:rPr>
                <w:sz w:val="7"/>
                <w:szCs w:val="7"/>
                <w:color w:val="auto"/>
              </w:rPr>
            </w:pPr>
          </w:p>
        </w:tc>
        <w:tc>
          <w:tcPr>
            <w:tcW w:w="100" w:type="dxa"/>
            <w:vAlign w:val="bottom"/>
            <w:tcBorders>
              <w:right w:val="single" w:sz="8" w:color="2D53A6"/>
            </w:tcBorders>
            <w:shd w:val="clear" w:color="auto" w:fill="2D53A6"/>
          </w:tcPr>
          <w:p>
            <w:pPr>
              <w:spacing w:after="0"/>
              <w:rPr>
                <w:sz w:val="7"/>
                <w:szCs w:val="7"/>
                <w:color w:val="auto"/>
              </w:rPr>
            </w:pPr>
          </w:p>
        </w:tc>
        <w:tc>
          <w:tcPr>
            <w:tcW w:w="120" w:type="dxa"/>
            <w:vAlign w:val="bottom"/>
            <w:shd w:val="clear" w:color="auto" w:fill="2D53A6"/>
          </w:tcPr>
          <w:p>
            <w:pPr>
              <w:spacing w:after="0"/>
              <w:rPr>
                <w:sz w:val="7"/>
                <w:szCs w:val="7"/>
                <w:color w:val="auto"/>
              </w:rPr>
            </w:pPr>
          </w:p>
        </w:tc>
        <w:tc>
          <w:tcPr>
            <w:tcW w:w="600" w:type="dxa"/>
            <w:vAlign w:val="bottom"/>
            <w:shd w:val="clear" w:color="auto" w:fill="2D53A6"/>
          </w:tcPr>
          <w:p>
            <w:pPr>
              <w:spacing w:after="0"/>
              <w:rPr>
                <w:sz w:val="7"/>
                <w:szCs w:val="7"/>
                <w:color w:val="auto"/>
              </w:rPr>
            </w:pPr>
          </w:p>
        </w:tc>
        <w:tc>
          <w:tcPr>
            <w:tcW w:w="240" w:type="dxa"/>
            <w:vAlign w:val="bottom"/>
            <w:tcBorders>
              <w:right w:val="single" w:sz="8" w:color="2D53A6"/>
            </w:tcBorders>
            <w:shd w:val="clear" w:color="auto" w:fill="2D53A6"/>
          </w:tcPr>
          <w:p>
            <w:pPr>
              <w:spacing w:after="0"/>
              <w:rPr>
                <w:sz w:val="7"/>
                <w:szCs w:val="7"/>
                <w:color w:val="auto"/>
              </w:rPr>
            </w:pPr>
          </w:p>
        </w:tc>
        <w:tc>
          <w:tcPr>
            <w:tcW w:w="9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Under</w:t>
            </w:r>
          </w:p>
        </w:tc>
        <w:tc>
          <w:tcPr>
            <w:tcW w:w="1000" w:type="dxa"/>
            <w:vAlign w:val="bottom"/>
            <w:tcBorders>
              <w:right w:val="single" w:sz="8" w:color="2D53A6"/>
            </w:tcBorders>
            <w:shd w:val="clear" w:color="auto" w:fill="2D53A6"/>
          </w:tcPr>
          <w:p>
            <w:pPr>
              <w:spacing w:after="0"/>
              <w:rPr>
                <w:sz w:val="7"/>
                <w:szCs w:val="7"/>
                <w:color w:val="auto"/>
              </w:rPr>
            </w:pPr>
          </w:p>
        </w:tc>
        <w:tc>
          <w:tcPr>
            <w:tcW w:w="2900" w:type="dxa"/>
            <w:vAlign w:val="bottom"/>
            <w:tcBorders>
              <w:right w:val="single" w:sz="8" w:color="2D53A6"/>
            </w:tcBorders>
            <w:gridSpan w:val="3"/>
            <w:vMerge w:val="continue"/>
            <w:shd w:val="clear" w:color="auto" w:fill="2D53A6"/>
          </w:tcPr>
          <w:p>
            <w:pPr>
              <w:spacing w:after="0"/>
              <w:rPr>
                <w:sz w:val="7"/>
                <w:szCs w:val="7"/>
                <w:color w:val="auto"/>
              </w:rPr>
            </w:pPr>
          </w:p>
        </w:tc>
        <w:tc>
          <w:tcPr>
            <w:tcW w:w="200" w:type="dxa"/>
            <w:vAlign w:val="bottom"/>
            <w:shd w:val="clear" w:color="auto" w:fill="2D53A6"/>
          </w:tcPr>
          <w:p>
            <w:pPr>
              <w:spacing w:after="0"/>
              <w:rPr>
                <w:sz w:val="7"/>
                <w:szCs w:val="7"/>
                <w:color w:val="auto"/>
              </w:rPr>
            </w:pPr>
          </w:p>
        </w:tc>
        <w:tc>
          <w:tcPr>
            <w:tcW w:w="760" w:type="dxa"/>
            <w:vAlign w:val="bottom"/>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Stock</w:t>
            </w:r>
          </w:p>
        </w:tc>
        <w:tc>
          <w:tcPr>
            <w:tcW w:w="120" w:type="dxa"/>
            <w:vAlign w:val="bottom"/>
            <w:tcBorders>
              <w:right w:val="single" w:sz="8" w:color="2D53A6"/>
            </w:tcBorders>
            <w:shd w:val="clear" w:color="auto" w:fill="2D53A6"/>
          </w:tcPr>
          <w:p>
            <w:pPr>
              <w:spacing w:after="0"/>
              <w:rPr>
                <w:sz w:val="7"/>
                <w:szCs w:val="7"/>
                <w:color w:val="auto"/>
              </w:rPr>
            </w:pPr>
          </w:p>
        </w:tc>
        <w:tc>
          <w:tcPr>
            <w:tcW w:w="180" w:type="dxa"/>
            <w:vAlign w:val="bottom"/>
            <w:shd w:val="clear" w:color="auto" w:fill="2D53A6"/>
          </w:tcPr>
          <w:p>
            <w:pPr>
              <w:spacing w:after="0"/>
              <w:rPr>
                <w:sz w:val="7"/>
                <w:szCs w:val="7"/>
                <w:color w:val="auto"/>
              </w:rPr>
            </w:pPr>
          </w:p>
        </w:tc>
        <w:tc>
          <w:tcPr>
            <w:tcW w:w="82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0" w:type="dxa"/>
            <w:vAlign w:val="bottom"/>
            <w:tcBorders>
              <w:left w:val="single" w:sz="8" w:color="2D53A6"/>
              <w:right w:val="single" w:sz="8" w:color="2D53A6"/>
            </w:tcBorders>
            <w:shd w:val="clear" w:color="auto" w:fill="2D53A6"/>
          </w:tcPr>
          <w:p>
            <w:pPr>
              <w:spacing w:after="0"/>
              <w:rPr>
                <w:sz w:val="7"/>
                <w:szCs w:val="7"/>
                <w:color w:val="auto"/>
              </w:rPr>
            </w:pPr>
          </w:p>
        </w:tc>
        <w:tc>
          <w:tcPr>
            <w:tcW w:w="1440" w:type="dxa"/>
            <w:vAlign w:val="bottom"/>
            <w:shd w:val="clear" w:color="auto" w:fill="2D53A6"/>
          </w:tcPr>
          <w:p>
            <w:pPr>
              <w:spacing w:after="0"/>
              <w:rPr>
                <w:sz w:val="7"/>
                <w:szCs w:val="7"/>
                <w:color w:val="auto"/>
              </w:rPr>
            </w:pPr>
          </w:p>
        </w:tc>
        <w:tc>
          <w:tcPr>
            <w:tcW w:w="200" w:type="dxa"/>
            <w:vAlign w:val="bottom"/>
            <w:tcBorders>
              <w:right w:val="single" w:sz="8" w:color="2D53A6"/>
            </w:tcBorders>
            <w:shd w:val="clear" w:color="auto" w:fill="2D53A6"/>
          </w:tcPr>
          <w:p>
            <w:pPr>
              <w:spacing w:after="0"/>
              <w:rPr>
                <w:sz w:val="7"/>
                <w:szCs w:val="7"/>
                <w:color w:val="auto"/>
              </w:rPr>
            </w:pPr>
          </w:p>
        </w:tc>
        <w:tc>
          <w:tcPr>
            <w:tcW w:w="760" w:type="dxa"/>
            <w:vAlign w:val="bottom"/>
            <w:shd w:val="clear" w:color="auto" w:fill="2D53A6"/>
          </w:tcPr>
          <w:p>
            <w:pPr>
              <w:spacing w:after="0"/>
              <w:rPr>
                <w:sz w:val="7"/>
                <w:szCs w:val="7"/>
                <w:color w:val="auto"/>
              </w:rPr>
            </w:pPr>
          </w:p>
        </w:tc>
        <w:tc>
          <w:tcPr>
            <w:tcW w:w="100" w:type="dxa"/>
            <w:vAlign w:val="bottom"/>
            <w:tcBorders>
              <w:right w:val="single" w:sz="8" w:color="2D53A6"/>
            </w:tcBorders>
            <w:shd w:val="clear" w:color="auto" w:fill="2D53A6"/>
          </w:tcPr>
          <w:p>
            <w:pPr>
              <w:spacing w:after="0"/>
              <w:rPr>
                <w:sz w:val="7"/>
                <w:szCs w:val="7"/>
                <w:color w:val="auto"/>
              </w:rPr>
            </w:pPr>
          </w:p>
        </w:tc>
        <w:tc>
          <w:tcPr>
            <w:tcW w:w="120" w:type="dxa"/>
            <w:vAlign w:val="bottom"/>
            <w:shd w:val="clear" w:color="auto" w:fill="2D53A6"/>
          </w:tcPr>
          <w:p>
            <w:pPr>
              <w:spacing w:after="0"/>
              <w:rPr>
                <w:sz w:val="7"/>
                <w:szCs w:val="7"/>
                <w:color w:val="auto"/>
              </w:rPr>
            </w:pPr>
          </w:p>
        </w:tc>
        <w:tc>
          <w:tcPr>
            <w:tcW w:w="600" w:type="dxa"/>
            <w:vAlign w:val="bottom"/>
            <w:shd w:val="clear" w:color="auto" w:fill="2D53A6"/>
          </w:tcPr>
          <w:p>
            <w:pPr>
              <w:spacing w:after="0"/>
              <w:rPr>
                <w:sz w:val="7"/>
                <w:szCs w:val="7"/>
                <w:color w:val="auto"/>
              </w:rPr>
            </w:pPr>
          </w:p>
        </w:tc>
        <w:tc>
          <w:tcPr>
            <w:tcW w:w="240" w:type="dxa"/>
            <w:vAlign w:val="bottom"/>
            <w:tcBorders>
              <w:right w:val="single" w:sz="8" w:color="2D53A6"/>
            </w:tcBorders>
            <w:shd w:val="clear" w:color="auto" w:fill="2D53A6"/>
          </w:tcPr>
          <w:p>
            <w:pPr>
              <w:spacing w:after="0"/>
              <w:rPr>
                <w:sz w:val="7"/>
                <w:szCs w:val="7"/>
                <w:color w:val="auto"/>
              </w:rPr>
            </w:pPr>
          </w:p>
        </w:tc>
        <w:tc>
          <w:tcPr>
            <w:tcW w:w="960" w:type="dxa"/>
            <w:vAlign w:val="bottom"/>
            <w:tcBorders>
              <w:right w:val="single" w:sz="8" w:color="2D53A6"/>
            </w:tcBorders>
            <w:vMerge w:val="continue"/>
            <w:shd w:val="clear" w:color="auto" w:fill="2D53A6"/>
          </w:tcPr>
          <w:p>
            <w:pPr>
              <w:spacing w:after="0"/>
              <w:rPr>
                <w:sz w:val="7"/>
                <w:szCs w:val="7"/>
                <w:color w:val="auto"/>
              </w:rPr>
            </w:pPr>
          </w:p>
        </w:tc>
        <w:tc>
          <w:tcPr>
            <w:tcW w:w="1000" w:type="dxa"/>
            <w:vAlign w:val="bottom"/>
            <w:tcBorders>
              <w:right w:val="single" w:sz="8" w:color="2D53A6"/>
            </w:tcBorders>
            <w:shd w:val="clear" w:color="auto" w:fill="2D53A6"/>
          </w:tcPr>
          <w:p>
            <w:pPr>
              <w:spacing w:after="0"/>
              <w:rPr>
                <w:sz w:val="7"/>
                <w:szCs w:val="7"/>
                <w:color w:val="auto"/>
              </w:rPr>
            </w:pPr>
          </w:p>
        </w:tc>
        <w:tc>
          <w:tcPr>
            <w:tcW w:w="2900" w:type="dxa"/>
            <w:vAlign w:val="bottom"/>
            <w:tcBorders>
              <w:right w:val="single" w:sz="8" w:color="2D53A6"/>
            </w:tcBorders>
            <w:gridSpan w:val="3"/>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Under Equity Incentive Plan</w:t>
            </w:r>
          </w:p>
        </w:tc>
        <w:tc>
          <w:tcPr>
            <w:tcW w:w="200" w:type="dxa"/>
            <w:vAlign w:val="bottom"/>
            <w:shd w:val="clear" w:color="auto" w:fill="2D53A6"/>
          </w:tcPr>
          <w:p>
            <w:pPr>
              <w:spacing w:after="0"/>
              <w:rPr>
                <w:sz w:val="7"/>
                <w:szCs w:val="7"/>
                <w:color w:val="auto"/>
              </w:rPr>
            </w:pPr>
          </w:p>
        </w:tc>
        <w:tc>
          <w:tcPr>
            <w:tcW w:w="760" w:type="dxa"/>
            <w:vAlign w:val="bottom"/>
            <w:vMerge w:val="continue"/>
            <w:shd w:val="clear" w:color="auto" w:fill="2D53A6"/>
          </w:tcPr>
          <w:p>
            <w:pPr>
              <w:spacing w:after="0"/>
              <w:rPr>
                <w:sz w:val="7"/>
                <w:szCs w:val="7"/>
                <w:color w:val="auto"/>
              </w:rPr>
            </w:pPr>
          </w:p>
        </w:tc>
        <w:tc>
          <w:tcPr>
            <w:tcW w:w="120" w:type="dxa"/>
            <w:vAlign w:val="bottom"/>
            <w:tcBorders>
              <w:right w:val="single" w:sz="8" w:color="2D53A6"/>
            </w:tcBorders>
            <w:shd w:val="clear" w:color="auto" w:fill="2D53A6"/>
          </w:tcPr>
          <w:p>
            <w:pPr>
              <w:spacing w:after="0"/>
              <w:rPr>
                <w:sz w:val="7"/>
                <w:szCs w:val="7"/>
                <w:color w:val="auto"/>
              </w:rPr>
            </w:pPr>
          </w:p>
        </w:tc>
        <w:tc>
          <w:tcPr>
            <w:tcW w:w="180" w:type="dxa"/>
            <w:vAlign w:val="bottom"/>
            <w:shd w:val="clear" w:color="auto" w:fill="2D53A6"/>
          </w:tcPr>
          <w:p>
            <w:pPr>
              <w:spacing w:after="0"/>
              <w:rPr>
                <w:sz w:val="7"/>
                <w:szCs w:val="7"/>
                <w:color w:val="auto"/>
              </w:rPr>
            </w:pPr>
          </w:p>
        </w:tc>
        <w:tc>
          <w:tcPr>
            <w:tcW w:w="82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Date Fair</w:t>
            </w:r>
          </w:p>
        </w:tc>
        <w:tc>
          <w:tcPr>
            <w:tcW w:w="0" w:type="dxa"/>
            <w:vAlign w:val="bottom"/>
          </w:tcPr>
          <w:p>
            <w:pPr>
              <w:spacing w:after="0"/>
              <w:rPr>
                <w:sz w:val="1"/>
                <w:szCs w:val="1"/>
                <w:color w:val="auto"/>
              </w:rPr>
            </w:pPr>
          </w:p>
        </w:tc>
      </w:tr>
      <w:tr>
        <w:trPr>
          <w:trHeight w:val="69"/>
        </w:trPr>
        <w:tc>
          <w:tcPr>
            <w:tcW w:w="840" w:type="dxa"/>
            <w:vAlign w:val="bottom"/>
            <w:tcBorders>
              <w:left w:val="single" w:sz="8" w:color="2D53A6"/>
              <w:right w:val="single" w:sz="8" w:color="2D53A6"/>
            </w:tcBorders>
            <w:shd w:val="clear" w:color="auto" w:fill="2D53A6"/>
          </w:tcPr>
          <w:p>
            <w:pPr>
              <w:spacing w:after="0"/>
              <w:rPr>
                <w:sz w:val="5"/>
                <w:szCs w:val="5"/>
                <w:color w:val="auto"/>
              </w:rPr>
            </w:pPr>
          </w:p>
        </w:tc>
        <w:tc>
          <w:tcPr>
            <w:tcW w:w="1440" w:type="dxa"/>
            <w:vAlign w:val="bottom"/>
            <w:shd w:val="clear" w:color="auto" w:fill="2D53A6"/>
          </w:tcPr>
          <w:p>
            <w:pPr>
              <w:spacing w:after="0"/>
              <w:rPr>
                <w:sz w:val="5"/>
                <w:szCs w:val="5"/>
                <w:color w:val="auto"/>
              </w:rPr>
            </w:pPr>
          </w:p>
        </w:tc>
        <w:tc>
          <w:tcPr>
            <w:tcW w:w="200" w:type="dxa"/>
            <w:vAlign w:val="bottom"/>
            <w:tcBorders>
              <w:right w:val="single" w:sz="8" w:color="2D53A6"/>
            </w:tcBorders>
            <w:shd w:val="clear" w:color="auto" w:fill="2D53A6"/>
          </w:tcPr>
          <w:p>
            <w:pPr>
              <w:spacing w:after="0"/>
              <w:rPr>
                <w:sz w:val="5"/>
                <w:szCs w:val="5"/>
                <w:color w:val="auto"/>
              </w:rPr>
            </w:pPr>
          </w:p>
        </w:tc>
        <w:tc>
          <w:tcPr>
            <w:tcW w:w="760" w:type="dxa"/>
            <w:vAlign w:val="bottom"/>
            <w:shd w:val="clear" w:color="auto" w:fill="2D53A6"/>
          </w:tcPr>
          <w:p>
            <w:pPr>
              <w:spacing w:after="0"/>
              <w:rPr>
                <w:sz w:val="5"/>
                <w:szCs w:val="5"/>
                <w:color w:val="auto"/>
              </w:rPr>
            </w:pPr>
          </w:p>
        </w:tc>
        <w:tc>
          <w:tcPr>
            <w:tcW w:w="100" w:type="dxa"/>
            <w:vAlign w:val="bottom"/>
            <w:tcBorders>
              <w:right w:val="single" w:sz="8" w:color="2D53A6"/>
            </w:tcBorders>
            <w:shd w:val="clear" w:color="auto" w:fill="2D53A6"/>
          </w:tcPr>
          <w:p>
            <w:pPr>
              <w:spacing w:after="0"/>
              <w:rPr>
                <w:sz w:val="5"/>
                <w:szCs w:val="5"/>
                <w:color w:val="auto"/>
              </w:rPr>
            </w:pPr>
          </w:p>
        </w:tc>
        <w:tc>
          <w:tcPr>
            <w:tcW w:w="120" w:type="dxa"/>
            <w:vAlign w:val="bottom"/>
            <w:shd w:val="clear" w:color="auto" w:fill="2D53A6"/>
          </w:tcPr>
          <w:p>
            <w:pPr>
              <w:spacing w:after="0"/>
              <w:rPr>
                <w:sz w:val="5"/>
                <w:szCs w:val="5"/>
                <w:color w:val="auto"/>
              </w:rPr>
            </w:pPr>
          </w:p>
        </w:tc>
        <w:tc>
          <w:tcPr>
            <w:tcW w:w="2800" w:type="dxa"/>
            <w:vAlign w:val="bottom"/>
            <w:tcBorders>
              <w:right w:val="single" w:sz="8" w:color="2D53A6"/>
            </w:tcBorders>
            <w:gridSpan w:val="4"/>
            <w:vMerge w:val="restart"/>
            <w:shd w:val="clear" w:color="auto" w:fill="2D53A6"/>
          </w:tcPr>
          <w:p>
            <w:pPr>
              <w:jc w:val="center"/>
              <w:ind w:right="68"/>
              <w:spacing w:after="0"/>
              <w:rPr>
                <w:sz w:val="20"/>
                <w:szCs w:val="20"/>
                <w:color w:val="auto"/>
              </w:rPr>
            </w:pPr>
            <w:r>
              <w:rPr>
                <w:rFonts w:ascii="Arial" w:cs="Arial" w:eastAsia="Arial" w:hAnsi="Arial"/>
                <w:sz w:val="14"/>
                <w:szCs w:val="14"/>
                <w:b w:val="1"/>
                <w:bCs w:val="1"/>
                <w:color w:val="FFFFFF"/>
              </w:rPr>
              <w:t>Non-Equity Incentive Plan</w:t>
            </w:r>
          </w:p>
        </w:tc>
        <w:tc>
          <w:tcPr>
            <w:tcW w:w="2900" w:type="dxa"/>
            <w:vAlign w:val="bottom"/>
            <w:tcBorders>
              <w:right w:val="single" w:sz="8" w:color="2D53A6"/>
            </w:tcBorders>
            <w:gridSpan w:val="3"/>
            <w:vMerge w:val="continue"/>
            <w:shd w:val="clear" w:color="auto" w:fill="2D53A6"/>
          </w:tcPr>
          <w:p>
            <w:pPr>
              <w:spacing w:after="0"/>
              <w:rPr>
                <w:sz w:val="5"/>
                <w:szCs w:val="5"/>
                <w:color w:val="auto"/>
              </w:rPr>
            </w:pPr>
          </w:p>
        </w:tc>
        <w:tc>
          <w:tcPr>
            <w:tcW w:w="200" w:type="dxa"/>
            <w:vAlign w:val="bottom"/>
            <w:shd w:val="clear" w:color="auto" w:fill="2D53A6"/>
          </w:tcPr>
          <w:p>
            <w:pPr>
              <w:spacing w:after="0"/>
              <w:rPr>
                <w:sz w:val="5"/>
                <w:szCs w:val="5"/>
                <w:color w:val="auto"/>
              </w:rPr>
            </w:pPr>
          </w:p>
        </w:tc>
        <w:tc>
          <w:tcPr>
            <w:tcW w:w="760" w:type="dxa"/>
            <w:vAlign w:val="bottom"/>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Awards:</w:t>
            </w:r>
          </w:p>
        </w:tc>
        <w:tc>
          <w:tcPr>
            <w:tcW w:w="120" w:type="dxa"/>
            <w:vAlign w:val="bottom"/>
            <w:tcBorders>
              <w:right w:val="single" w:sz="8" w:color="2D53A6"/>
            </w:tcBorders>
            <w:shd w:val="clear" w:color="auto" w:fill="2D53A6"/>
          </w:tcPr>
          <w:p>
            <w:pPr>
              <w:spacing w:after="0"/>
              <w:rPr>
                <w:sz w:val="5"/>
                <w:szCs w:val="5"/>
                <w:color w:val="auto"/>
              </w:rPr>
            </w:pPr>
          </w:p>
        </w:tc>
        <w:tc>
          <w:tcPr>
            <w:tcW w:w="180" w:type="dxa"/>
            <w:vAlign w:val="bottom"/>
            <w:shd w:val="clear" w:color="auto" w:fill="2D53A6"/>
          </w:tcPr>
          <w:p>
            <w:pPr>
              <w:spacing w:after="0"/>
              <w:rPr>
                <w:sz w:val="5"/>
                <w:szCs w:val="5"/>
                <w:color w:val="auto"/>
              </w:rPr>
            </w:pPr>
          </w:p>
        </w:tc>
        <w:tc>
          <w:tcPr>
            <w:tcW w:w="820" w:type="dxa"/>
            <w:vAlign w:val="bottom"/>
            <w:tcBorders>
              <w:right w:val="single" w:sz="8" w:color="2D53A6"/>
            </w:tcBorders>
            <w:vMerge w:val="continue"/>
            <w:shd w:val="clear" w:color="auto" w:fill="2D53A6"/>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40" w:type="dxa"/>
            <w:vAlign w:val="bottom"/>
            <w:tcBorders>
              <w:left w:val="single" w:sz="8" w:color="2D53A6"/>
              <w:right w:val="single" w:sz="8" w:color="2D53A6"/>
            </w:tcBorders>
            <w:vMerge w:val="restart"/>
            <w:shd w:val="clear" w:color="auto" w:fill="2D53A6"/>
          </w:tcPr>
          <w:p>
            <w:pPr>
              <w:ind w:left="20"/>
              <w:spacing w:after="0"/>
              <w:rPr>
                <w:sz w:val="20"/>
                <w:szCs w:val="20"/>
                <w:color w:val="auto"/>
              </w:rPr>
            </w:pPr>
            <w:r>
              <w:rPr>
                <w:rFonts w:ascii="Arial" w:cs="Arial" w:eastAsia="Arial" w:hAnsi="Arial"/>
                <w:sz w:val="14"/>
                <w:szCs w:val="14"/>
                <w:b w:val="1"/>
                <w:bCs w:val="1"/>
                <w:color w:val="FFFFFF"/>
              </w:rPr>
              <w:t>Named</w:t>
            </w:r>
          </w:p>
        </w:tc>
        <w:tc>
          <w:tcPr>
            <w:tcW w:w="1440" w:type="dxa"/>
            <w:vAlign w:val="bottom"/>
            <w:shd w:val="clear" w:color="auto" w:fill="2D53A6"/>
          </w:tcPr>
          <w:p>
            <w:pPr>
              <w:spacing w:after="0"/>
              <w:rPr>
                <w:sz w:val="12"/>
                <w:szCs w:val="12"/>
                <w:color w:val="auto"/>
              </w:rPr>
            </w:pPr>
          </w:p>
        </w:tc>
        <w:tc>
          <w:tcPr>
            <w:tcW w:w="200" w:type="dxa"/>
            <w:vAlign w:val="bottom"/>
            <w:tcBorders>
              <w:right w:val="single" w:sz="8" w:color="2D53A6"/>
            </w:tcBorders>
            <w:shd w:val="clear" w:color="auto" w:fill="2D53A6"/>
          </w:tcPr>
          <w:p>
            <w:pPr>
              <w:spacing w:after="0"/>
              <w:rPr>
                <w:sz w:val="12"/>
                <w:szCs w:val="12"/>
                <w:color w:val="auto"/>
              </w:rPr>
            </w:pPr>
          </w:p>
        </w:tc>
        <w:tc>
          <w:tcPr>
            <w:tcW w:w="760" w:type="dxa"/>
            <w:vAlign w:val="bottom"/>
            <w:vMerge w:val="restart"/>
            <w:shd w:val="clear" w:color="auto" w:fill="2D53A6"/>
          </w:tcPr>
          <w:p>
            <w:pPr>
              <w:jc w:val="right"/>
              <w:ind w:right="128"/>
              <w:spacing w:after="0"/>
              <w:rPr>
                <w:sz w:val="20"/>
                <w:szCs w:val="20"/>
                <w:color w:val="auto"/>
              </w:rPr>
            </w:pPr>
            <w:r>
              <w:rPr>
                <w:rFonts w:ascii="Arial" w:cs="Arial" w:eastAsia="Arial" w:hAnsi="Arial"/>
                <w:sz w:val="14"/>
                <w:szCs w:val="14"/>
                <w:b w:val="1"/>
                <w:bCs w:val="1"/>
                <w:color w:val="FFFFFF"/>
              </w:rPr>
              <w:t>Grant</w:t>
            </w:r>
          </w:p>
        </w:tc>
        <w:tc>
          <w:tcPr>
            <w:tcW w:w="100" w:type="dxa"/>
            <w:vAlign w:val="bottom"/>
            <w:tcBorders>
              <w:right w:val="single" w:sz="8" w:color="2D53A6"/>
            </w:tcBorders>
            <w:shd w:val="clear" w:color="auto" w:fill="2D53A6"/>
          </w:tcPr>
          <w:p>
            <w:pPr>
              <w:spacing w:after="0"/>
              <w:rPr>
                <w:sz w:val="12"/>
                <w:szCs w:val="12"/>
                <w:color w:val="auto"/>
              </w:rPr>
            </w:pPr>
          </w:p>
        </w:tc>
        <w:tc>
          <w:tcPr>
            <w:tcW w:w="120" w:type="dxa"/>
            <w:vAlign w:val="bottom"/>
            <w:shd w:val="clear" w:color="auto" w:fill="2D53A6"/>
          </w:tcPr>
          <w:p>
            <w:pPr>
              <w:spacing w:after="0"/>
              <w:rPr>
                <w:sz w:val="12"/>
                <w:szCs w:val="12"/>
                <w:color w:val="auto"/>
              </w:rPr>
            </w:pPr>
          </w:p>
        </w:tc>
        <w:tc>
          <w:tcPr>
            <w:tcW w:w="2800" w:type="dxa"/>
            <w:vAlign w:val="bottom"/>
            <w:tcBorders>
              <w:right w:val="single" w:sz="8" w:color="2D53A6"/>
            </w:tcBorders>
            <w:gridSpan w:val="4"/>
            <w:vMerge w:val="continue"/>
            <w:shd w:val="clear" w:color="auto" w:fill="2D53A6"/>
          </w:tcPr>
          <w:p>
            <w:pPr>
              <w:spacing w:after="0"/>
              <w:rPr>
                <w:sz w:val="12"/>
                <w:szCs w:val="12"/>
                <w:color w:val="auto"/>
              </w:rPr>
            </w:pPr>
          </w:p>
        </w:tc>
        <w:tc>
          <w:tcPr>
            <w:tcW w:w="940" w:type="dxa"/>
            <w:vAlign w:val="bottom"/>
            <w:tcBorders>
              <w:right w:val="single" w:sz="8" w:color="2D53A6"/>
            </w:tcBorders>
            <w:shd w:val="clear" w:color="auto" w:fill="2D53A6"/>
          </w:tcPr>
          <w:p>
            <w:pPr>
              <w:spacing w:after="0"/>
              <w:rPr>
                <w:sz w:val="12"/>
                <w:szCs w:val="12"/>
                <w:color w:val="auto"/>
              </w:rPr>
            </w:pPr>
          </w:p>
        </w:tc>
        <w:tc>
          <w:tcPr>
            <w:tcW w:w="980" w:type="dxa"/>
            <w:vAlign w:val="bottom"/>
            <w:tcBorders>
              <w:right w:val="single" w:sz="8" w:color="2D53A6"/>
            </w:tcBorders>
            <w:shd w:val="clear" w:color="auto" w:fill="2D53A6"/>
          </w:tcPr>
          <w:p>
            <w:pPr>
              <w:jc w:val="center"/>
              <w:spacing w:after="0" w:line="148" w:lineRule="exact"/>
              <w:rPr>
                <w:sz w:val="20"/>
                <w:szCs w:val="20"/>
                <w:color w:val="auto"/>
              </w:rPr>
            </w:pPr>
            <w:r>
              <w:rPr>
                <w:rFonts w:ascii="Arial" w:cs="Arial" w:eastAsia="Arial" w:hAnsi="Arial"/>
                <w:sz w:val="11"/>
                <w:szCs w:val="11"/>
                <w:b w:val="1"/>
                <w:bCs w:val="1"/>
                <w:color w:val="FFFFFF"/>
              </w:rPr>
              <w:t xml:space="preserve">Awards </w:t>
            </w:r>
            <w:r>
              <w:rPr>
                <w:rFonts w:ascii="Arial" w:cs="Arial" w:eastAsia="Arial" w:hAnsi="Arial"/>
                <w:sz w:val="17"/>
                <w:szCs w:val="17"/>
                <w:b w:val="1"/>
                <w:bCs w:val="1"/>
                <w:color w:val="FFFFFF"/>
                <w:vertAlign w:val="superscript"/>
              </w:rPr>
              <w:t>(2)</w:t>
            </w:r>
          </w:p>
        </w:tc>
        <w:tc>
          <w:tcPr>
            <w:tcW w:w="980" w:type="dxa"/>
            <w:vAlign w:val="bottom"/>
            <w:tcBorders>
              <w:right w:val="single" w:sz="8" w:color="2D53A6"/>
            </w:tcBorders>
            <w:shd w:val="clear" w:color="auto" w:fill="2D53A6"/>
          </w:tcPr>
          <w:p>
            <w:pPr>
              <w:spacing w:after="0"/>
              <w:rPr>
                <w:sz w:val="12"/>
                <w:szCs w:val="12"/>
                <w:color w:val="auto"/>
              </w:rPr>
            </w:pPr>
          </w:p>
        </w:tc>
        <w:tc>
          <w:tcPr>
            <w:tcW w:w="200" w:type="dxa"/>
            <w:vAlign w:val="bottom"/>
            <w:shd w:val="clear" w:color="auto" w:fill="2D53A6"/>
          </w:tcPr>
          <w:p>
            <w:pPr>
              <w:spacing w:after="0"/>
              <w:rPr>
                <w:sz w:val="12"/>
                <w:szCs w:val="12"/>
                <w:color w:val="auto"/>
              </w:rPr>
            </w:pPr>
          </w:p>
        </w:tc>
        <w:tc>
          <w:tcPr>
            <w:tcW w:w="760" w:type="dxa"/>
            <w:vAlign w:val="bottom"/>
            <w:vMerge w:val="continue"/>
            <w:shd w:val="clear" w:color="auto" w:fill="2D53A6"/>
          </w:tcPr>
          <w:p>
            <w:pPr>
              <w:spacing w:after="0"/>
              <w:rPr>
                <w:sz w:val="12"/>
                <w:szCs w:val="12"/>
                <w:color w:val="auto"/>
              </w:rPr>
            </w:pPr>
          </w:p>
        </w:tc>
        <w:tc>
          <w:tcPr>
            <w:tcW w:w="120" w:type="dxa"/>
            <w:vAlign w:val="bottom"/>
            <w:tcBorders>
              <w:right w:val="single" w:sz="8" w:color="2D53A6"/>
            </w:tcBorders>
            <w:shd w:val="clear" w:color="auto" w:fill="2D53A6"/>
          </w:tcPr>
          <w:p>
            <w:pPr>
              <w:spacing w:after="0"/>
              <w:rPr>
                <w:sz w:val="12"/>
                <w:szCs w:val="12"/>
                <w:color w:val="auto"/>
              </w:rPr>
            </w:pPr>
          </w:p>
        </w:tc>
        <w:tc>
          <w:tcPr>
            <w:tcW w:w="180" w:type="dxa"/>
            <w:vAlign w:val="bottom"/>
            <w:shd w:val="clear" w:color="auto" w:fill="2D53A6"/>
          </w:tcPr>
          <w:p>
            <w:pPr>
              <w:spacing w:after="0"/>
              <w:rPr>
                <w:sz w:val="12"/>
                <w:szCs w:val="12"/>
                <w:color w:val="auto"/>
              </w:rPr>
            </w:pPr>
          </w:p>
        </w:tc>
        <w:tc>
          <w:tcPr>
            <w:tcW w:w="8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0" w:type="dxa"/>
            <w:vAlign w:val="bottom"/>
          </w:tcPr>
          <w:p>
            <w:pPr>
              <w:spacing w:after="0"/>
              <w:rPr>
                <w:sz w:val="1"/>
                <w:szCs w:val="1"/>
                <w:color w:val="auto"/>
              </w:rPr>
            </w:pPr>
          </w:p>
        </w:tc>
      </w:tr>
      <w:tr>
        <w:trPr>
          <w:trHeight w:val="108"/>
        </w:trPr>
        <w:tc>
          <w:tcPr>
            <w:tcW w:w="840" w:type="dxa"/>
            <w:vAlign w:val="bottom"/>
            <w:tcBorders>
              <w:left w:val="single" w:sz="8" w:color="2D53A6"/>
              <w:right w:val="single" w:sz="8" w:color="2D53A6"/>
            </w:tcBorders>
            <w:vMerge w:val="continue"/>
            <w:shd w:val="clear" w:color="auto" w:fill="2D53A6"/>
          </w:tcPr>
          <w:p>
            <w:pPr>
              <w:spacing w:after="0"/>
              <w:rPr>
                <w:sz w:val="9"/>
                <w:szCs w:val="9"/>
                <w:color w:val="auto"/>
              </w:rPr>
            </w:pPr>
          </w:p>
        </w:tc>
        <w:tc>
          <w:tcPr>
            <w:tcW w:w="1440" w:type="dxa"/>
            <w:vAlign w:val="bottom"/>
            <w:vMerge w:val="restart"/>
            <w:shd w:val="clear" w:color="auto" w:fill="2D53A6"/>
          </w:tcPr>
          <w:p>
            <w:pPr>
              <w:ind w:left="300"/>
              <w:spacing w:after="0"/>
              <w:rPr>
                <w:sz w:val="20"/>
                <w:szCs w:val="20"/>
                <w:color w:val="auto"/>
              </w:rPr>
            </w:pPr>
            <w:r>
              <w:rPr>
                <w:rFonts w:ascii="Arial" w:cs="Arial" w:eastAsia="Arial" w:hAnsi="Arial"/>
                <w:sz w:val="14"/>
                <w:szCs w:val="14"/>
                <w:b w:val="1"/>
                <w:bCs w:val="1"/>
                <w:color w:val="FFFFFF"/>
              </w:rPr>
              <w:t>Award Type</w:t>
            </w:r>
          </w:p>
        </w:tc>
        <w:tc>
          <w:tcPr>
            <w:tcW w:w="200" w:type="dxa"/>
            <w:vAlign w:val="bottom"/>
            <w:tcBorders>
              <w:right w:val="single" w:sz="8" w:color="2D53A6"/>
            </w:tcBorders>
            <w:shd w:val="clear" w:color="auto" w:fill="2D53A6"/>
          </w:tcPr>
          <w:p>
            <w:pPr>
              <w:spacing w:after="0"/>
              <w:rPr>
                <w:sz w:val="9"/>
                <w:szCs w:val="9"/>
                <w:color w:val="auto"/>
              </w:rPr>
            </w:pPr>
          </w:p>
        </w:tc>
        <w:tc>
          <w:tcPr>
            <w:tcW w:w="760" w:type="dxa"/>
            <w:vAlign w:val="bottom"/>
            <w:vMerge w:val="continue"/>
            <w:shd w:val="clear" w:color="auto" w:fill="2D53A6"/>
          </w:tcPr>
          <w:p>
            <w:pPr>
              <w:spacing w:after="0"/>
              <w:rPr>
                <w:sz w:val="9"/>
                <w:szCs w:val="9"/>
                <w:color w:val="auto"/>
              </w:rPr>
            </w:pPr>
          </w:p>
        </w:tc>
        <w:tc>
          <w:tcPr>
            <w:tcW w:w="100" w:type="dxa"/>
            <w:vAlign w:val="bottom"/>
            <w:tcBorders>
              <w:right w:val="single" w:sz="8" w:color="2D53A6"/>
            </w:tcBorders>
            <w:shd w:val="clear" w:color="auto" w:fill="2D53A6"/>
          </w:tcPr>
          <w:p>
            <w:pPr>
              <w:spacing w:after="0"/>
              <w:rPr>
                <w:sz w:val="9"/>
                <w:szCs w:val="9"/>
                <w:color w:val="auto"/>
              </w:rPr>
            </w:pPr>
          </w:p>
        </w:tc>
        <w:tc>
          <w:tcPr>
            <w:tcW w:w="120" w:type="dxa"/>
            <w:vAlign w:val="bottom"/>
            <w:shd w:val="clear" w:color="auto" w:fill="2D53A6"/>
          </w:tcPr>
          <w:p>
            <w:pPr>
              <w:spacing w:after="0"/>
              <w:rPr>
                <w:sz w:val="9"/>
                <w:szCs w:val="9"/>
                <w:color w:val="auto"/>
              </w:rPr>
            </w:pPr>
          </w:p>
        </w:tc>
        <w:tc>
          <w:tcPr>
            <w:tcW w:w="600" w:type="dxa"/>
            <w:vAlign w:val="bottom"/>
            <w:shd w:val="clear" w:color="auto" w:fill="2D53A6"/>
          </w:tcPr>
          <w:p>
            <w:pPr>
              <w:spacing w:after="0"/>
              <w:rPr>
                <w:sz w:val="9"/>
                <w:szCs w:val="9"/>
                <w:color w:val="auto"/>
              </w:rPr>
            </w:pPr>
          </w:p>
        </w:tc>
        <w:tc>
          <w:tcPr>
            <w:tcW w:w="240" w:type="dxa"/>
            <w:vAlign w:val="bottom"/>
            <w:tcBorders>
              <w:right w:val="single" w:sz="8" w:color="2D53A6"/>
            </w:tcBorders>
            <w:shd w:val="clear" w:color="auto" w:fill="2D53A6"/>
          </w:tcPr>
          <w:p>
            <w:pPr>
              <w:spacing w:after="0"/>
              <w:rPr>
                <w:sz w:val="9"/>
                <w:szCs w:val="9"/>
                <w:color w:val="auto"/>
              </w:rPr>
            </w:pPr>
          </w:p>
        </w:tc>
        <w:tc>
          <w:tcPr>
            <w:tcW w:w="960" w:type="dxa"/>
            <w:vAlign w:val="bottom"/>
            <w:tcBorders>
              <w:right w:val="single" w:sz="8" w:color="2D53A6"/>
            </w:tcBorders>
            <w:shd w:val="clear" w:color="auto" w:fill="2D53A6"/>
          </w:tcPr>
          <w:p>
            <w:pPr>
              <w:jc w:val="center"/>
              <w:spacing w:after="0" w:line="108" w:lineRule="exact"/>
              <w:rPr>
                <w:sz w:val="20"/>
                <w:szCs w:val="20"/>
                <w:color w:val="auto"/>
              </w:rPr>
            </w:pPr>
            <w:r>
              <w:rPr>
                <w:rFonts w:ascii="Arial" w:cs="Arial" w:eastAsia="Arial" w:hAnsi="Arial"/>
                <w:sz w:val="9"/>
                <w:szCs w:val="9"/>
                <w:b w:val="1"/>
                <w:bCs w:val="1"/>
                <w:color w:val="FFFFFF"/>
              </w:rPr>
              <w:t xml:space="preserve">Awards </w:t>
            </w:r>
            <w:r>
              <w:rPr>
                <w:rFonts w:ascii="Arial" w:cs="Arial" w:eastAsia="Arial" w:hAnsi="Arial"/>
                <w:sz w:val="12"/>
                <w:szCs w:val="12"/>
                <w:b w:val="1"/>
                <w:bCs w:val="1"/>
                <w:color w:val="FFFFFF"/>
                <w:vertAlign w:val="superscript"/>
              </w:rPr>
              <w:t>(1)</w:t>
            </w:r>
          </w:p>
        </w:tc>
        <w:tc>
          <w:tcPr>
            <w:tcW w:w="1000" w:type="dxa"/>
            <w:vAlign w:val="bottom"/>
            <w:tcBorders>
              <w:right w:val="single" w:sz="8" w:color="2D53A6"/>
            </w:tcBorders>
            <w:shd w:val="clear" w:color="auto" w:fill="2D53A6"/>
          </w:tcPr>
          <w:p>
            <w:pPr>
              <w:spacing w:after="0"/>
              <w:rPr>
                <w:sz w:val="9"/>
                <w:szCs w:val="9"/>
                <w:color w:val="auto"/>
              </w:rPr>
            </w:pPr>
          </w:p>
        </w:tc>
        <w:tc>
          <w:tcPr>
            <w:tcW w:w="940" w:type="dxa"/>
            <w:vAlign w:val="bottom"/>
            <w:tcBorders>
              <w:right w:val="single" w:sz="8" w:color="2D53A6"/>
            </w:tcBorders>
            <w:shd w:val="clear" w:color="auto" w:fill="2D53A6"/>
          </w:tcPr>
          <w:p>
            <w:pPr>
              <w:spacing w:after="0"/>
              <w:rPr>
                <w:sz w:val="9"/>
                <w:szCs w:val="9"/>
                <w:color w:val="auto"/>
              </w:rPr>
            </w:pPr>
          </w:p>
        </w:tc>
        <w:tc>
          <w:tcPr>
            <w:tcW w:w="980" w:type="dxa"/>
            <w:vAlign w:val="bottom"/>
            <w:tcBorders>
              <w:right w:val="single" w:sz="8" w:color="2D53A6"/>
            </w:tcBorders>
            <w:shd w:val="clear" w:color="auto" w:fill="2D53A6"/>
          </w:tcPr>
          <w:p>
            <w:pPr>
              <w:spacing w:after="0"/>
              <w:rPr>
                <w:sz w:val="9"/>
                <w:szCs w:val="9"/>
                <w:color w:val="auto"/>
              </w:rPr>
            </w:pPr>
          </w:p>
        </w:tc>
        <w:tc>
          <w:tcPr>
            <w:tcW w:w="980" w:type="dxa"/>
            <w:vAlign w:val="bottom"/>
            <w:tcBorders>
              <w:right w:val="single" w:sz="8" w:color="2D53A6"/>
            </w:tcBorders>
            <w:shd w:val="clear" w:color="auto" w:fill="2D53A6"/>
          </w:tcPr>
          <w:p>
            <w:pPr>
              <w:spacing w:after="0"/>
              <w:rPr>
                <w:sz w:val="9"/>
                <w:szCs w:val="9"/>
                <w:color w:val="auto"/>
              </w:rPr>
            </w:pPr>
          </w:p>
        </w:tc>
        <w:tc>
          <w:tcPr>
            <w:tcW w:w="200" w:type="dxa"/>
            <w:vAlign w:val="bottom"/>
            <w:shd w:val="clear" w:color="auto" w:fill="2D53A6"/>
          </w:tcPr>
          <w:p>
            <w:pPr>
              <w:spacing w:after="0"/>
              <w:rPr>
                <w:sz w:val="9"/>
                <w:szCs w:val="9"/>
                <w:color w:val="auto"/>
              </w:rPr>
            </w:pPr>
          </w:p>
        </w:tc>
        <w:tc>
          <w:tcPr>
            <w:tcW w:w="760" w:type="dxa"/>
            <w:vAlign w:val="bottom"/>
            <w:shd w:val="clear" w:color="auto" w:fill="2D53A6"/>
          </w:tcPr>
          <w:p>
            <w:pPr>
              <w:jc w:val="center"/>
              <w:spacing w:after="0" w:line="108" w:lineRule="exact"/>
              <w:rPr>
                <w:sz w:val="20"/>
                <w:szCs w:val="20"/>
                <w:color w:val="auto"/>
              </w:rPr>
            </w:pPr>
            <w:r>
              <w:rPr>
                <w:rFonts w:ascii="Arial" w:cs="Arial" w:eastAsia="Arial" w:hAnsi="Arial"/>
                <w:sz w:val="12"/>
                <w:szCs w:val="12"/>
                <w:b w:val="1"/>
                <w:bCs w:val="1"/>
                <w:color w:val="FFFFFF"/>
              </w:rPr>
              <w:t>Number</w:t>
            </w:r>
          </w:p>
        </w:tc>
        <w:tc>
          <w:tcPr>
            <w:tcW w:w="120" w:type="dxa"/>
            <w:vAlign w:val="bottom"/>
            <w:tcBorders>
              <w:right w:val="single" w:sz="8" w:color="2D53A6"/>
            </w:tcBorders>
            <w:shd w:val="clear" w:color="auto" w:fill="2D53A6"/>
          </w:tcPr>
          <w:p>
            <w:pPr>
              <w:spacing w:after="0"/>
              <w:rPr>
                <w:sz w:val="9"/>
                <w:szCs w:val="9"/>
                <w:color w:val="auto"/>
              </w:rPr>
            </w:pPr>
          </w:p>
        </w:tc>
        <w:tc>
          <w:tcPr>
            <w:tcW w:w="180" w:type="dxa"/>
            <w:vAlign w:val="bottom"/>
            <w:shd w:val="clear" w:color="auto" w:fill="2D53A6"/>
          </w:tcPr>
          <w:p>
            <w:pPr>
              <w:spacing w:after="0"/>
              <w:rPr>
                <w:sz w:val="9"/>
                <w:szCs w:val="9"/>
                <w:color w:val="auto"/>
              </w:rPr>
            </w:pPr>
          </w:p>
        </w:tc>
        <w:tc>
          <w:tcPr>
            <w:tcW w:w="820" w:type="dxa"/>
            <w:vAlign w:val="bottom"/>
            <w:tcBorders>
              <w:right w:val="single" w:sz="8" w:color="2D53A6"/>
            </w:tcBorders>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840" w:type="dxa"/>
            <w:vAlign w:val="bottom"/>
            <w:tcBorders>
              <w:left w:val="single" w:sz="8" w:color="2D53A6"/>
              <w:right w:val="single" w:sz="8" w:color="2D53A6"/>
            </w:tcBorders>
            <w:shd w:val="clear" w:color="auto" w:fill="2D53A6"/>
          </w:tcPr>
          <w:p>
            <w:pPr>
              <w:ind w:left="20"/>
              <w:spacing w:after="0" w:line="99" w:lineRule="exact"/>
              <w:rPr>
                <w:sz w:val="20"/>
                <w:szCs w:val="20"/>
                <w:color w:val="auto"/>
              </w:rPr>
            </w:pPr>
            <w:r>
              <w:rPr>
                <w:rFonts w:ascii="Arial" w:cs="Arial" w:eastAsia="Arial" w:hAnsi="Arial"/>
                <w:sz w:val="11"/>
                <w:szCs w:val="11"/>
                <w:b w:val="1"/>
                <w:bCs w:val="1"/>
                <w:color w:val="FFFFFF"/>
              </w:rPr>
              <w:t>Executive</w:t>
            </w:r>
          </w:p>
        </w:tc>
        <w:tc>
          <w:tcPr>
            <w:tcW w:w="1440" w:type="dxa"/>
            <w:vAlign w:val="bottom"/>
            <w:vMerge w:val="continue"/>
            <w:shd w:val="clear" w:color="auto" w:fill="2D53A6"/>
          </w:tcPr>
          <w:p>
            <w:pPr>
              <w:spacing w:after="0"/>
              <w:rPr>
                <w:sz w:val="8"/>
                <w:szCs w:val="8"/>
                <w:color w:val="auto"/>
              </w:rPr>
            </w:pPr>
          </w:p>
        </w:tc>
        <w:tc>
          <w:tcPr>
            <w:tcW w:w="200" w:type="dxa"/>
            <w:vAlign w:val="bottom"/>
            <w:tcBorders>
              <w:right w:val="single" w:sz="8" w:color="2D53A6"/>
            </w:tcBorders>
            <w:shd w:val="clear" w:color="auto" w:fill="2D53A6"/>
          </w:tcPr>
          <w:p>
            <w:pPr>
              <w:spacing w:after="0"/>
              <w:rPr>
                <w:sz w:val="8"/>
                <w:szCs w:val="8"/>
                <w:color w:val="auto"/>
              </w:rPr>
            </w:pPr>
          </w:p>
        </w:tc>
        <w:tc>
          <w:tcPr>
            <w:tcW w:w="760" w:type="dxa"/>
            <w:vAlign w:val="bottom"/>
            <w:vMerge w:val="restart"/>
            <w:shd w:val="clear" w:color="auto" w:fill="2D53A6"/>
          </w:tcPr>
          <w:p>
            <w:pPr>
              <w:jc w:val="right"/>
              <w:ind w:right="148"/>
              <w:spacing w:after="0"/>
              <w:rPr>
                <w:sz w:val="20"/>
                <w:szCs w:val="20"/>
                <w:color w:val="auto"/>
              </w:rPr>
            </w:pPr>
            <w:r>
              <w:rPr>
                <w:rFonts w:ascii="Arial" w:cs="Arial" w:eastAsia="Arial" w:hAnsi="Arial"/>
                <w:sz w:val="14"/>
                <w:szCs w:val="14"/>
                <w:b w:val="1"/>
                <w:bCs w:val="1"/>
                <w:color w:val="FFFFFF"/>
              </w:rPr>
              <w:t>Date</w:t>
            </w:r>
          </w:p>
        </w:tc>
        <w:tc>
          <w:tcPr>
            <w:tcW w:w="100" w:type="dxa"/>
            <w:vAlign w:val="bottom"/>
            <w:tcBorders>
              <w:right w:val="single" w:sz="8" w:color="2D53A6"/>
            </w:tcBorders>
            <w:shd w:val="clear" w:color="auto" w:fill="2D53A6"/>
          </w:tcPr>
          <w:p>
            <w:pPr>
              <w:spacing w:after="0"/>
              <w:rPr>
                <w:sz w:val="8"/>
                <w:szCs w:val="8"/>
                <w:color w:val="auto"/>
              </w:rPr>
            </w:pPr>
          </w:p>
        </w:tc>
        <w:tc>
          <w:tcPr>
            <w:tcW w:w="120" w:type="dxa"/>
            <w:vAlign w:val="bottom"/>
            <w:shd w:val="clear" w:color="auto" w:fill="2D53A6"/>
          </w:tcPr>
          <w:p>
            <w:pPr>
              <w:spacing w:after="0"/>
              <w:rPr>
                <w:sz w:val="8"/>
                <w:szCs w:val="8"/>
                <w:color w:val="auto"/>
              </w:rPr>
            </w:pPr>
          </w:p>
        </w:tc>
        <w:tc>
          <w:tcPr>
            <w:tcW w:w="600" w:type="dxa"/>
            <w:vAlign w:val="bottom"/>
            <w:shd w:val="clear" w:color="auto" w:fill="2D53A6"/>
          </w:tcPr>
          <w:p>
            <w:pPr>
              <w:spacing w:after="0"/>
              <w:rPr>
                <w:sz w:val="8"/>
                <w:szCs w:val="8"/>
                <w:color w:val="auto"/>
              </w:rPr>
            </w:pPr>
          </w:p>
        </w:tc>
        <w:tc>
          <w:tcPr>
            <w:tcW w:w="240" w:type="dxa"/>
            <w:vAlign w:val="bottom"/>
            <w:tcBorders>
              <w:right w:val="single" w:sz="8" w:color="2D53A6"/>
            </w:tcBorders>
            <w:shd w:val="clear" w:color="auto" w:fill="2D53A6"/>
          </w:tcPr>
          <w:p>
            <w:pPr>
              <w:spacing w:after="0"/>
              <w:rPr>
                <w:sz w:val="8"/>
                <w:szCs w:val="8"/>
                <w:color w:val="auto"/>
              </w:rPr>
            </w:pPr>
          </w:p>
        </w:tc>
        <w:tc>
          <w:tcPr>
            <w:tcW w:w="960" w:type="dxa"/>
            <w:vAlign w:val="bottom"/>
            <w:tcBorders>
              <w:right w:val="single" w:sz="8" w:color="2D53A6"/>
            </w:tcBorders>
            <w:shd w:val="clear" w:color="auto" w:fill="2D53A6"/>
          </w:tcPr>
          <w:p>
            <w:pPr>
              <w:spacing w:after="0"/>
              <w:rPr>
                <w:sz w:val="8"/>
                <w:szCs w:val="8"/>
                <w:color w:val="auto"/>
              </w:rPr>
            </w:pPr>
          </w:p>
        </w:tc>
        <w:tc>
          <w:tcPr>
            <w:tcW w:w="1000" w:type="dxa"/>
            <w:vAlign w:val="bottom"/>
            <w:tcBorders>
              <w:right w:val="single" w:sz="8" w:color="2D53A6"/>
            </w:tcBorders>
            <w:shd w:val="clear" w:color="auto" w:fill="2D53A6"/>
          </w:tcPr>
          <w:p>
            <w:pPr>
              <w:spacing w:after="0"/>
              <w:rPr>
                <w:sz w:val="8"/>
                <w:szCs w:val="8"/>
                <w:color w:val="auto"/>
              </w:rPr>
            </w:pPr>
          </w:p>
        </w:tc>
        <w:tc>
          <w:tcPr>
            <w:tcW w:w="940" w:type="dxa"/>
            <w:vAlign w:val="bottom"/>
            <w:tcBorders>
              <w:right w:val="single" w:sz="8" w:color="2D53A6"/>
            </w:tcBorders>
            <w:shd w:val="clear" w:color="auto" w:fill="2D53A6"/>
          </w:tcPr>
          <w:p>
            <w:pPr>
              <w:spacing w:after="0"/>
              <w:rPr>
                <w:sz w:val="8"/>
                <w:szCs w:val="8"/>
                <w:color w:val="auto"/>
              </w:rPr>
            </w:pPr>
          </w:p>
        </w:tc>
        <w:tc>
          <w:tcPr>
            <w:tcW w:w="980" w:type="dxa"/>
            <w:vAlign w:val="bottom"/>
            <w:tcBorders>
              <w:right w:val="single" w:sz="8" w:color="2D53A6"/>
            </w:tcBorders>
            <w:shd w:val="clear" w:color="auto" w:fill="2D53A6"/>
          </w:tcPr>
          <w:p>
            <w:pPr>
              <w:spacing w:after="0"/>
              <w:rPr>
                <w:sz w:val="8"/>
                <w:szCs w:val="8"/>
                <w:color w:val="auto"/>
              </w:rPr>
            </w:pPr>
          </w:p>
        </w:tc>
        <w:tc>
          <w:tcPr>
            <w:tcW w:w="980" w:type="dxa"/>
            <w:vAlign w:val="bottom"/>
            <w:tcBorders>
              <w:right w:val="single" w:sz="8" w:color="2D53A6"/>
            </w:tcBorders>
            <w:shd w:val="clear" w:color="auto" w:fill="2D53A6"/>
          </w:tcPr>
          <w:p>
            <w:pPr>
              <w:spacing w:after="0"/>
              <w:rPr>
                <w:sz w:val="8"/>
                <w:szCs w:val="8"/>
                <w:color w:val="auto"/>
              </w:rPr>
            </w:pPr>
          </w:p>
        </w:tc>
        <w:tc>
          <w:tcPr>
            <w:tcW w:w="200" w:type="dxa"/>
            <w:vAlign w:val="bottom"/>
            <w:shd w:val="clear" w:color="auto" w:fill="2D53A6"/>
          </w:tcPr>
          <w:p>
            <w:pPr>
              <w:spacing w:after="0"/>
              <w:rPr>
                <w:sz w:val="8"/>
                <w:szCs w:val="8"/>
                <w:color w:val="auto"/>
              </w:rPr>
            </w:pPr>
          </w:p>
        </w:tc>
        <w:tc>
          <w:tcPr>
            <w:tcW w:w="760" w:type="dxa"/>
            <w:vAlign w:val="bottom"/>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w w:val="90"/>
              </w:rPr>
              <w:t>of</w:t>
            </w:r>
          </w:p>
        </w:tc>
        <w:tc>
          <w:tcPr>
            <w:tcW w:w="120" w:type="dxa"/>
            <w:vAlign w:val="bottom"/>
            <w:tcBorders>
              <w:right w:val="single" w:sz="8" w:color="2D53A6"/>
            </w:tcBorders>
            <w:shd w:val="clear" w:color="auto" w:fill="2D53A6"/>
          </w:tcPr>
          <w:p>
            <w:pPr>
              <w:spacing w:after="0"/>
              <w:rPr>
                <w:sz w:val="8"/>
                <w:szCs w:val="8"/>
                <w:color w:val="auto"/>
              </w:rPr>
            </w:pPr>
          </w:p>
        </w:tc>
        <w:tc>
          <w:tcPr>
            <w:tcW w:w="180" w:type="dxa"/>
            <w:vAlign w:val="bottom"/>
            <w:shd w:val="clear" w:color="auto" w:fill="2D53A6"/>
          </w:tcPr>
          <w:p>
            <w:pPr>
              <w:spacing w:after="0"/>
              <w:rPr>
                <w:sz w:val="8"/>
                <w:szCs w:val="8"/>
                <w:color w:val="auto"/>
              </w:rPr>
            </w:pPr>
          </w:p>
        </w:tc>
        <w:tc>
          <w:tcPr>
            <w:tcW w:w="820" w:type="dxa"/>
            <w:vAlign w:val="bottom"/>
            <w:tcBorders>
              <w:right w:val="single" w:sz="8" w:color="2D53A6"/>
            </w:tcBorders>
            <w:shd w:val="clear" w:color="auto" w:fill="2D53A6"/>
          </w:tcPr>
          <w:p>
            <w:pPr>
              <w:jc w:val="center"/>
              <w:spacing w:after="0" w:line="99" w:lineRule="exact"/>
              <w:rPr>
                <w:sz w:val="20"/>
                <w:szCs w:val="20"/>
                <w:color w:val="auto"/>
              </w:rPr>
            </w:pPr>
            <w:r>
              <w:rPr>
                <w:rFonts w:ascii="Arial" w:cs="Arial" w:eastAsia="Arial" w:hAnsi="Arial"/>
                <w:sz w:val="11"/>
                <w:szCs w:val="11"/>
                <w:b w:val="1"/>
                <w:bCs w:val="1"/>
                <w:color w:val="FFFFFF"/>
              </w:rPr>
              <w:t>Stock and</w:t>
            </w:r>
          </w:p>
        </w:tc>
        <w:tc>
          <w:tcPr>
            <w:tcW w:w="0" w:type="dxa"/>
            <w:vAlign w:val="bottom"/>
          </w:tcPr>
          <w:p>
            <w:pPr>
              <w:spacing w:after="0"/>
              <w:rPr>
                <w:sz w:val="1"/>
                <w:szCs w:val="1"/>
                <w:color w:val="auto"/>
              </w:rPr>
            </w:pPr>
          </w:p>
        </w:tc>
      </w:tr>
      <w:tr>
        <w:trPr>
          <w:trHeight w:val="81"/>
        </w:trPr>
        <w:tc>
          <w:tcPr>
            <w:tcW w:w="840" w:type="dxa"/>
            <w:vAlign w:val="bottom"/>
            <w:tcBorders>
              <w:left w:val="single" w:sz="8" w:color="2D53A6"/>
              <w:right w:val="single" w:sz="8" w:color="2D53A6"/>
            </w:tcBorders>
            <w:vMerge w:val="restart"/>
            <w:shd w:val="clear" w:color="auto" w:fill="2D53A6"/>
          </w:tcPr>
          <w:p>
            <w:pPr>
              <w:ind w:left="20"/>
              <w:spacing w:after="0"/>
              <w:rPr>
                <w:sz w:val="20"/>
                <w:szCs w:val="20"/>
                <w:color w:val="auto"/>
              </w:rPr>
            </w:pPr>
            <w:r>
              <w:rPr>
                <w:rFonts w:ascii="Arial" w:cs="Arial" w:eastAsia="Arial" w:hAnsi="Arial"/>
                <w:sz w:val="14"/>
                <w:szCs w:val="14"/>
                <w:b w:val="1"/>
                <w:bCs w:val="1"/>
                <w:color w:val="FFFFFF"/>
              </w:rPr>
              <w:t>Officer</w:t>
            </w:r>
          </w:p>
        </w:tc>
        <w:tc>
          <w:tcPr>
            <w:tcW w:w="1440" w:type="dxa"/>
            <w:vAlign w:val="bottom"/>
            <w:shd w:val="clear" w:color="auto" w:fill="2D53A6"/>
          </w:tcPr>
          <w:p>
            <w:pPr>
              <w:spacing w:after="0"/>
              <w:rPr>
                <w:sz w:val="7"/>
                <w:szCs w:val="7"/>
                <w:color w:val="auto"/>
              </w:rPr>
            </w:pPr>
          </w:p>
        </w:tc>
        <w:tc>
          <w:tcPr>
            <w:tcW w:w="200" w:type="dxa"/>
            <w:vAlign w:val="bottom"/>
            <w:tcBorders>
              <w:right w:val="single" w:sz="8" w:color="2D53A6"/>
            </w:tcBorders>
            <w:shd w:val="clear" w:color="auto" w:fill="2D53A6"/>
          </w:tcPr>
          <w:p>
            <w:pPr>
              <w:spacing w:after="0"/>
              <w:rPr>
                <w:sz w:val="7"/>
                <w:szCs w:val="7"/>
                <w:color w:val="auto"/>
              </w:rPr>
            </w:pPr>
          </w:p>
        </w:tc>
        <w:tc>
          <w:tcPr>
            <w:tcW w:w="760" w:type="dxa"/>
            <w:vAlign w:val="bottom"/>
            <w:vMerge w:val="continue"/>
            <w:shd w:val="clear" w:color="auto" w:fill="2D53A6"/>
          </w:tcPr>
          <w:p>
            <w:pPr>
              <w:spacing w:after="0"/>
              <w:rPr>
                <w:sz w:val="7"/>
                <w:szCs w:val="7"/>
                <w:color w:val="auto"/>
              </w:rPr>
            </w:pPr>
          </w:p>
        </w:tc>
        <w:tc>
          <w:tcPr>
            <w:tcW w:w="100" w:type="dxa"/>
            <w:vAlign w:val="bottom"/>
            <w:tcBorders>
              <w:right w:val="single" w:sz="8" w:color="2D53A6"/>
            </w:tcBorders>
            <w:shd w:val="clear" w:color="auto" w:fill="2D53A6"/>
          </w:tcPr>
          <w:p>
            <w:pPr>
              <w:spacing w:after="0"/>
              <w:rPr>
                <w:sz w:val="7"/>
                <w:szCs w:val="7"/>
                <w:color w:val="auto"/>
              </w:rPr>
            </w:pPr>
          </w:p>
        </w:tc>
        <w:tc>
          <w:tcPr>
            <w:tcW w:w="120" w:type="dxa"/>
            <w:vAlign w:val="bottom"/>
            <w:shd w:val="clear" w:color="auto" w:fill="2D53A6"/>
          </w:tcPr>
          <w:p>
            <w:pPr>
              <w:spacing w:after="0"/>
              <w:rPr>
                <w:sz w:val="7"/>
                <w:szCs w:val="7"/>
                <w:color w:val="auto"/>
              </w:rPr>
            </w:pPr>
          </w:p>
        </w:tc>
        <w:tc>
          <w:tcPr>
            <w:tcW w:w="600" w:type="dxa"/>
            <w:vAlign w:val="bottom"/>
            <w:shd w:val="clear" w:color="auto" w:fill="2D53A6"/>
          </w:tcPr>
          <w:p>
            <w:pPr>
              <w:spacing w:after="0"/>
              <w:rPr>
                <w:sz w:val="7"/>
                <w:szCs w:val="7"/>
                <w:color w:val="auto"/>
              </w:rPr>
            </w:pPr>
          </w:p>
        </w:tc>
        <w:tc>
          <w:tcPr>
            <w:tcW w:w="240" w:type="dxa"/>
            <w:vAlign w:val="bottom"/>
            <w:tcBorders>
              <w:right w:val="single" w:sz="8" w:color="2D53A6"/>
            </w:tcBorders>
            <w:shd w:val="clear" w:color="auto" w:fill="2D53A6"/>
          </w:tcPr>
          <w:p>
            <w:pPr>
              <w:spacing w:after="0"/>
              <w:rPr>
                <w:sz w:val="7"/>
                <w:szCs w:val="7"/>
                <w:color w:val="auto"/>
              </w:rPr>
            </w:pPr>
          </w:p>
        </w:tc>
        <w:tc>
          <w:tcPr>
            <w:tcW w:w="960" w:type="dxa"/>
            <w:vAlign w:val="bottom"/>
            <w:tcBorders>
              <w:right w:val="single" w:sz="8" w:color="2D53A6"/>
            </w:tcBorders>
            <w:shd w:val="clear" w:color="auto" w:fill="2D53A6"/>
          </w:tcPr>
          <w:p>
            <w:pPr>
              <w:spacing w:after="0"/>
              <w:rPr>
                <w:sz w:val="7"/>
                <w:szCs w:val="7"/>
                <w:color w:val="auto"/>
              </w:rPr>
            </w:pPr>
          </w:p>
        </w:tc>
        <w:tc>
          <w:tcPr>
            <w:tcW w:w="1000" w:type="dxa"/>
            <w:vAlign w:val="bottom"/>
            <w:tcBorders>
              <w:right w:val="single" w:sz="8" w:color="2D53A6"/>
            </w:tcBorders>
            <w:shd w:val="clear" w:color="auto" w:fill="2D53A6"/>
          </w:tcPr>
          <w:p>
            <w:pPr>
              <w:spacing w:after="0"/>
              <w:rPr>
                <w:sz w:val="7"/>
                <w:szCs w:val="7"/>
                <w:color w:val="auto"/>
              </w:rPr>
            </w:pPr>
          </w:p>
        </w:tc>
        <w:tc>
          <w:tcPr>
            <w:tcW w:w="940" w:type="dxa"/>
            <w:vAlign w:val="bottom"/>
            <w:tcBorders>
              <w:right w:val="single" w:sz="8" w:color="2D53A6"/>
            </w:tcBorders>
            <w:shd w:val="clear" w:color="auto" w:fill="2D53A6"/>
          </w:tcPr>
          <w:p>
            <w:pPr>
              <w:spacing w:after="0"/>
              <w:rPr>
                <w:sz w:val="7"/>
                <w:szCs w:val="7"/>
                <w:color w:val="auto"/>
              </w:rPr>
            </w:pPr>
          </w:p>
        </w:tc>
        <w:tc>
          <w:tcPr>
            <w:tcW w:w="980" w:type="dxa"/>
            <w:vAlign w:val="bottom"/>
            <w:tcBorders>
              <w:right w:val="single" w:sz="8" w:color="2D53A6"/>
            </w:tcBorders>
            <w:shd w:val="clear" w:color="auto" w:fill="2D53A6"/>
          </w:tcPr>
          <w:p>
            <w:pPr>
              <w:spacing w:after="0"/>
              <w:rPr>
                <w:sz w:val="7"/>
                <w:szCs w:val="7"/>
                <w:color w:val="auto"/>
              </w:rPr>
            </w:pPr>
          </w:p>
        </w:tc>
        <w:tc>
          <w:tcPr>
            <w:tcW w:w="980" w:type="dxa"/>
            <w:vAlign w:val="bottom"/>
            <w:tcBorders>
              <w:right w:val="single" w:sz="8" w:color="2D53A6"/>
            </w:tcBorders>
            <w:shd w:val="clear" w:color="auto" w:fill="2D53A6"/>
          </w:tcPr>
          <w:p>
            <w:pPr>
              <w:spacing w:after="0"/>
              <w:rPr>
                <w:sz w:val="7"/>
                <w:szCs w:val="7"/>
                <w:color w:val="auto"/>
              </w:rPr>
            </w:pPr>
          </w:p>
        </w:tc>
        <w:tc>
          <w:tcPr>
            <w:tcW w:w="200" w:type="dxa"/>
            <w:vAlign w:val="bottom"/>
            <w:shd w:val="clear" w:color="auto" w:fill="2D53A6"/>
          </w:tcPr>
          <w:p>
            <w:pPr>
              <w:spacing w:after="0"/>
              <w:rPr>
                <w:sz w:val="7"/>
                <w:szCs w:val="7"/>
                <w:color w:val="auto"/>
              </w:rPr>
            </w:pPr>
          </w:p>
        </w:tc>
        <w:tc>
          <w:tcPr>
            <w:tcW w:w="760" w:type="dxa"/>
            <w:vAlign w:val="bottom"/>
            <w:vMerge w:val="continue"/>
            <w:shd w:val="clear" w:color="auto" w:fill="2D53A6"/>
          </w:tcPr>
          <w:p>
            <w:pPr>
              <w:spacing w:after="0"/>
              <w:rPr>
                <w:sz w:val="7"/>
                <w:szCs w:val="7"/>
                <w:color w:val="auto"/>
              </w:rPr>
            </w:pPr>
          </w:p>
        </w:tc>
        <w:tc>
          <w:tcPr>
            <w:tcW w:w="120" w:type="dxa"/>
            <w:vAlign w:val="bottom"/>
            <w:tcBorders>
              <w:right w:val="single" w:sz="8" w:color="2D53A6"/>
            </w:tcBorders>
            <w:shd w:val="clear" w:color="auto" w:fill="2D53A6"/>
          </w:tcPr>
          <w:p>
            <w:pPr>
              <w:spacing w:after="0"/>
              <w:rPr>
                <w:sz w:val="7"/>
                <w:szCs w:val="7"/>
                <w:color w:val="auto"/>
              </w:rPr>
            </w:pPr>
          </w:p>
        </w:tc>
        <w:tc>
          <w:tcPr>
            <w:tcW w:w="180" w:type="dxa"/>
            <w:vAlign w:val="bottom"/>
            <w:shd w:val="clear" w:color="auto" w:fill="2D53A6"/>
          </w:tcPr>
          <w:p>
            <w:pPr>
              <w:spacing w:after="0"/>
              <w:rPr>
                <w:sz w:val="7"/>
                <w:szCs w:val="7"/>
                <w:color w:val="auto"/>
              </w:rPr>
            </w:pPr>
          </w:p>
        </w:tc>
        <w:tc>
          <w:tcPr>
            <w:tcW w:w="8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Option</w:t>
            </w:r>
          </w:p>
        </w:tc>
        <w:tc>
          <w:tcPr>
            <w:tcW w:w="0" w:type="dxa"/>
            <w:vAlign w:val="bottom"/>
          </w:tcPr>
          <w:p>
            <w:pPr>
              <w:spacing w:after="0"/>
              <w:rPr>
                <w:sz w:val="1"/>
                <w:szCs w:val="1"/>
                <w:color w:val="auto"/>
              </w:rPr>
            </w:pPr>
          </w:p>
        </w:tc>
      </w:tr>
      <w:tr>
        <w:trPr>
          <w:trHeight w:val="81"/>
        </w:trPr>
        <w:tc>
          <w:tcPr>
            <w:tcW w:w="840" w:type="dxa"/>
            <w:vAlign w:val="bottom"/>
            <w:tcBorders>
              <w:left w:val="single" w:sz="8" w:color="2D53A6"/>
              <w:right w:val="single" w:sz="8" w:color="2D53A6"/>
            </w:tcBorders>
            <w:vMerge w:val="continue"/>
            <w:shd w:val="clear" w:color="auto" w:fill="2D53A6"/>
          </w:tcPr>
          <w:p>
            <w:pPr>
              <w:spacing w:after="0"/>
              <w:rPr>
                <w:sz w:val="7"/>
                <w:szCs w:val="7"/>
                <w:color w:val="auto"/>
              </w:rPr>
            </w:pPr>
          </w:p>
        </w:tc>
        <w:tc>
          <w:tcPr>
            <w:tcW w:w="1440" w:type="dxa"/>
            <w:vAlign w:val="bottom"/>
            <w:shd w:val="clear" w:color="auto" w:fill="2D53A6"/>
          </w:tcPr>
          <w:p>
            <w:pPr>
              <w:spacing w:after="0"/>
              <w:rPr>
                <w:sz w:val="7"/>
                <w:szCs w:val="7"/>
                <w:color w:val="auto"/>
              </w:rPr>
            </w:pPr>
          </w:p>
        </w:tc>
        <w:tc>
          <w:tcPr>
            <w:tcW w:w="200" w:type="dxa"/>
            <w:vAlign w:val="bottom"/>
            <w:tcBorders>
              <w:right w:val="single" w:sz="8" w:color="2D53A6"/>
            </w:tcBorders>
            <w:shd w:val="clear" w:color="auto" w:fill="2D53A6"/>
          </w:tcPr>
          <w:p>
            <w:pPr>
              <w:spacing w:after="0"/>
              <w:rPr>
                <w:sz w:val="7"/>
                <w:szCs w:val="7"/>
                <w:color w:val="auto"/>
              </w:rPr>
            </w:pPr>
          </w:p>
        </w:tc>
        <w:tc>
          <w:tcPr>
            <w:tcW w:w="760" w:type="dxa"/>
            <w:vAlign w:val="bottom"/>
            <w:shd w:val="clear" w:color="auto" w:fill="2D53A6"/>
          </w:tcPr>
          <w:p>
            <w:pPr>
              <w:spacing w:after="0"/>
              <w:rPr>
                <w:sz w:val="7"/>
                <w:szCs w:val="7"/>
                <w:color w:val="auto"/>
              </w:rPr>
            </w:pPr>
          </w:p>
        </w:tc>
        <w:tc>
          <w:tcPr>
            <w:tcW w:w="100" w:type="dxa"/>
            <w:vAlign w:val="bottom"/>
            <w:tcBorders>
              <w:right w:val="single" w:sz="8" w:color="2D53A6"/>
            </w:tcBorders>
            <w:shd w:val="clear" w:color="auto" w:fill="2D53A6"/>
          </w:tcPr>
          <w:p>
            <w:pPr>
              <w:spacing w:after="0"/>
              <w:rPr>
                <w:sz w:val="7"/>
                <w:szCs w:val="7"/>
                <w:color w:val="auto"/>
              </w:rPr>
            </w:pPr>
          </w:p>
        </w:tc>
        <w:tc>
          <w:tcPr>
            <w:tcW w:w="120" w:type="dxa"/>
            <w:vAlign w:val="bottom"/>
            <w:shd w:val="clear" w:color="auto" w:fill="2D53A6"/>
          </w:tcPr>
          <w:p>
            <w:pPr>
              <w:spacing w:after="0"/>
              <w:rPr>
                <w:sz w:val="7"/>
                <w:szCs w:val="7"/>
                <w:color w:val="auto"/>
              </w:rPr>
            </w:pPr>
          </w:p>
        </w:tc>
        <w:tc>
          <w:tcPr>
            <w:tcW w:w="600" w:type="dxa"/>
            <w:vAlign w:val="bottom"/>
            <w:shd w:val="clear" w:color="auto" w:fill="2D53A6"/>
          </w:tcPr>
          <w:p>
            <w:pPr>
              <w:spacing w:after="0"/>
              <w:rPr>
                <w:sz w:val="7"/>
                <w:szCs w:val="7"/>
                <w:color w:val="auto"/>
              </w:rPr>
            </w:pPr>
          </w:p>
        </w:tc>
        <w:tc>
          <w:tcPr>
            <w:tcW w:w="240" w:type="dxa"/>
            <w:vAlign w:val="bottom"/>
            <w:tcBorders>
              <w:right w:val="single" w:sz="8" w:color="2D53A6"/>
            </w:tcBorders>
            <w:shd w:val="clear" w:color="auto" w:fill="2D53A6"/>
          </w:tcPr>
          <w:p>
            <w:pPr>
              <w:spacing w:after="0"/>
              <w:rPr>
                <w:sz w:val="7"/>
                <w:szCs w:val="7"/>
                <w:color w:val="auto"/>
              </w:rPr>
            </w:pPr>
          </w:p>
        </w:tc>
        <w:tc>
          <w:tcPr>
            <w:tcW w:w="960" w:type="dxa"/>
            <w:vAlign w:val="bottom"/>
            <w:tcBorders>
              <w:right w:val="single" w:sz="8" w:color="2D53A6"/>
            </w:tcBorders>
            <w:shd w:val="clear" w:color="auto" w:fill="2D53A6"/>
          </w:tcPr>
          <w:p>
            <w:pPr>
              <w:spacing w:after="0"/>
              <w:rPr>
                <w:sz w:val="7"/>
                <w:szCs w:val="7"/>
                <w:color w:val="auto"/>
              </w:rPr>
            </w:pPr>
          </w:p>
        </w:tc>
        <w:tc>
          <w:tcPr>
            <w:tcW w:w="1000" w:type="dxa"/>
            <w:vAlign w:val="bottom"/>
            <w:tcBorders>
              <w:right w:val="single" w:sz="8" w:color="2D53A6"/>
            </w:tcBorders>
            <w:shd w:val="clear" w:color="auto" w:fill="2D53A6"/>
          </w:tcPr>
          <w:p>
            <w:pPr>
              <w:spacing w:after="0"/>
              <w:rPr>
                <w:sz w:val="7"/>
                <w:szCs w:val="7"/>
                <w:color w:val="auto"/>
              </w:rPr>
            </w:pPr>
          </w:p>
        </w:tc>
        <w:tc>
          <w:tcPr>
            <w:tcW w:w="940" w:type="dxa"/>
            <w:vAlign w:val="bottom"/>
            <w:tcBorders>
              <w:right w:val="single" w:sz="8" w:color="2D53A6"/>
            </w:tcBorders>
            <w:shd w:val="clear" w:color="auto" w:fill="2D53A6"/>
          </w:tcPr>
          <w:p>
            <w:pPr>
              <w:spacing w:after="0"/>
              <w:rPr>
                <w:sz w:val="7"/>
                <w:szCs w:val="7"/>
                <w:color w:val="auto"/>
              </w:rPr>
            </w:pPr>
          </w:p>
        </w:tc>
        <w:tc>
          <w:tcPr>
            <w:tcW w:w="980" w:type="dxa"/>
            <w:vAlign w:val="bottom"/>
            <w:tcBorders>
              <w:right w:val="single" w:sz="8" w:color="2D53A6"/>
            </w:tcBorders>
            <w:shd w:val="clear" w:color="auto" w:fill="2D53A6"/>
          </w:tcPr>
          <w:p>
            <w:pPr>
              <w:spacing w:after="0"/>
              <w:rPr>
                <w:sz w:val="7"/>
                <w:szCs w:val="7"/>
                <w:color w:val="auto"/>
              </w:rPr>
            </w:pPr>
          </w:p>
        </w:tc>
        <w:tc>
          <w:tcPr>
            <w:tcW w:w="980" w:type="dxa"/>
            <w:vAlign w:val="bottom"/>
            <w:tcBorders>
              <w:right w:val="single" w:sz="8" w:color="2D53A6"/>
            </w:tcBorders>
            <w:shd w:val="clear" w:color="auto" w:fill="2D53A6"/>
          </w:tcPr>
          <w:p>
            <w:pPr>
              <w:spacing w:after="0"/>
              <w:rPr>
                <w:sz w:val="7"/>
                <w:szCs w:val="7"/>
                <w:color w:val="auto"/>
              </w:rPr>
            </w:pPr>
          </w:p>
        </w:tc>
        <w:tc>
          <w:tcPr>
            <w:tcW w:w="200" w:type="dxa"/>
            <w:vAlign w:val="bottom"/>
            <w:shd w:val="clear" w:color="auto" w:fill="2D53A6"/>
          </w:tcPr>
          <w:p>
            <w:pPr>
              <w:spacing w:after="0"/>
              <w:rPr>
                <w:sz w:val="7"/>
                <w:szCs w:val="7"/>
                <w:color w:val="auto"/>
              </w:rPr>
            </w:pPr>
          </w:p>
        </w:tc>
        <w:tc>
          <w:tcPr>
            <w:tcW w:w="880" w:type="dxa"/>
            <w:vAlign w:val="bottom"/>
            <w:tcBorders>
              <w:right w:val="single" w:sz="8" w:color="2D53A6"/>
            </w:tcBorders>
            <w:gridSpan w:val="2"/>
            <w:vMerge w:val="restart"/>
            <w:shd w:val="clear" w:color="auto" w:fill="2D53A6"/>
          </w:tcPr>
          <w:p>
            <w:pPr>
              <w:jc w:val="center"/>
              <w:ind w:right="120"/>
              <w:spacing w:after="0"/>
              <w:rPr>
                <w:sz w:val="20"/>
                <w:szCs w:val="20"/>
                <w:color w:val="auto"/>
              </w:rPr>
            </w:pPr>
            <w:r>
              <w:rPr>
                <w:rFonts w:ascii="Arial" w:cs="Arial" w:eastAsia="Arial" w:hAnsi="Arial"/>
                <w:sz w:val="14"/>
                <w:szCs w:val="14"/>
                <w:b w:val="1"/>
                <w:bCs w:val="1"/>
                <w:color w:val="FFFFFF"/>
              </w:rPr>
              <w:t>Shares</w:t>
            </w:r>
          </w:p>
        </w:tc>
        <w:tc>
          <w:tcPr>
            <w:tcW w:w="180" w:type="dxa"/>
            <w:vAlign w:val="bottom"/>
            <w:shd w:val="clear" w:color="auto" w:fill="2D53A6"/>
          </w:tcPr>
          <w:p>
            <w:pPr>
              <w:spacing w:after="0"/>
              <w:rPr>
                <w:sz w:val="7"/>
                <w:szCs w:val="7"/>
                <w:color w:val="auto"/>
              </w:rPr>
            </w:pPr>
          </w:p>
        </w:tc>
        <w:tc>
          <w:tcPr>
            <w:tcW w:w="82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40" w:type="dxa"/>
            <w:vAlign w:val="bottom"/>
            <w:tcBorders>
              <w:left w:val="single" w:sz="8" w:color="2D53A6"/>
              <w:right w:val="single" w:sz="8" w:color="2D53A6"/>
            </w:tcBorders>
            <w:shd w:val="clear" w:color="auto" w:fill="2D53A6"/>
          </w:tcPr>
          <w:p>
            <w:pPr>
              <w:spacing w:after="0"/>
              <w:rPr>
                <w:sz w:val="7"/>
                <w:szCs w:val="7"/>
                <w:color w:val="auto"/>
              </w:rPr>
            </w:pPr>
          </w:p>
        </w:tc>
        <w:tc>
          <w:tcPr>
            <w:tcW w:w="1440" w:type="dxa"/>
            <w:vAlign w:val="bottom"/>
            <w:shd w:val="clear" w:color="auto" w:fill="2D53A6"/>
          </w:tcPr>
          <w:p>
            <w:pPr>
              <w:spacing w:after="0"/>
              <w:rPr>
                <w:sz w:val="7"/>
                <w:szCs w:val="7"/>
                <w:color w:val="auto"/>
              </w:rPr>
            </w:pPr>
          </w:p>
        </w:tc>
        <w:tc>
          <w:tcPr>
            <w:tcW w:w="200" w:type="dxa"/>
            <w:vAlign w:val="bottom"/>
            <w:tcBorders>
              <w:right w:val="single" w:sz="8" w:color="2D53A6"/>
            </w:tcBorders>
            <w:shd w:val="clear" w:color="auto" w:fill="2D53A6"/>
          </w:tcPr>
          <w:p>
            <w:pPr>
              <w:spacing w:after="0"/>
              <w:rPr>
                <w:sz w:val="7"/>
                <w:szCs w:val="7"/>
                <w:color w:val="auto"/>
              </w:rPr>
            </w:pPr>
          </w:p>
        </w:tc>
        <w:tc>
          <w:tcPr>
            <w:tcW w:w="760" w:type="dxa"/>
            <w:vAlign w:val="bottom"/>
            <w:shd w:val="clear" w:color="auto" w:fill="2D53A6"/>
          </w:tcPr>
          <w:p>
            <w:pPr>
              <w:spacing w:after="0"/>
              <w:rPr>
                <w:sz w:val="7"/>
                <w:szCs w:val="7"/>
                <w:color w:val="auto"/>
              </w:rPr>
            </w:pPr>
          </w:p>
        </w:tc>
        <w:tc>
          <w:tcPr>
            <w:tcW w:w="100" w:type="dxa"/>
            <w:vAlign w:val="bottom"/>
            <w:tcBorders>
              <w:right w:val="single" w:sz="8" w:color="2D53A6"/>
            </w:tcBorders>
            <w:shd w:val="clear" w:color="auto" w:fill="2D53A6"/>
          </w:tcPr>
          <w:p>
            <w:pPr>
              <w:spacing w:after="0"/>
              <w:rPr>
                <w:sz w:val="7"/>
                <w:szCs w:val="7"/>
                <w:color w:val="auto"/>
              </w:rPr>
            </w:pPr>
          </w:p>
        </w:tc>
        <w:tc>
          <w:tcPr>
            <w:tcW w:w="120" w:type="dxa"/>
            <w:vAlign w:val="bottom"/>
            <w:shd w:val="clear" w:color="auto" w:fill="2D53A6"/>
          </w:tcPr>
          <w:p>
            <w:pPr>
              <w:spacing w:after="0"/>
              <w:rPr>
                <w:sz w:val="7"/>
                <w:szCs w:val="7"/>
                <w:color w:val="auto"/>
              </w:rPr>
            </w:pPr>
          </w:p>
        </w:tc>
        <w:tc>
          <w:tcPr>
            <w:tcW w:w="600" w:type="dxa"/>
            <w:vAlign w:val="bottom"/>
            <w:shd w:val="clear" w:color="auto" w:fill="2D53A6"/>
          </w:tcPr>
          <w:p>
            <w:pPr>
              <w:spacing w:after="0"/>
              <w:rPr>
                <w:sz w:val="7"/>
                <w:szCs w:val="7"/>
                <w:color w:val="auto"/>
              </w:rPr>
            </w:pPr>
          </w:p>
        </w:tc>
        <w:tc>
          <w:tcPr>
            <w:tcW w:w="240" w:type="dxa"/>
            <w:vAlign w:val="bottom"/>
            <w:tcBorders>
              <w:right w:val="single" w:sz="8" w:color="2D53A6"/>
            </w:tcBorders>
            <w:shd w:val="clear" w:color="auto" w:fill="2D53A6"/>
          </w:tcPr>
          <w:p>
            <w:pPr>
              <w:spacing w:after="0"/>
              <w:rPr>
                <w:sz w:val="7"/>
                <w:szCs w:val="7"/>
                <w:color w:val="auto"/>
              </w:rPr>
            </w:pPr>
          </w:p>
        </w:tc>
        <w:tc>
          <w:tcPr>
            <w:tcW w:w="9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000" w:type="dxa"/>
            <w:vAlign w:val="bottom"/>
            <w:tcBorders>
              <w:right w:val="single" w:sz="8" w:color="2D53A6"/>
            </w:tcBorders>
            <w:vMerge w:val="restart"/>
            <w:shd w:val="clear" w:color="auto" w:fill="2D53A6"/>
          </w:tcPr>
          <w:p>
            <w:pPr>
              <w:jc w:val="right"/>
              <w:ind w:right="248"/>
              <w:spacing w:after="0"/>
              <w:rPr>
                <w:sz w:val="20"/>
                <w:szCs w:val="20"/>
                <w:color w:val="auto"/>
              </w:rPr>
            </w:pPr>
            <w:r>
              <w:rPr>
                <w:rFonts w:ascii="Arial" w:cs="Arial" w:eastAsia="Arial" w:hAnsi="Arial"/>
                <w:sz w:val="14"/>
                <w:szCs w:val="14"/>
                <w:b w:val="1"/>
                <w:bCs w:val="1"/>
                <w:color w:val="FFFFFF"/>
              </w:rPr>
              <w:t>Maxi-</w:t>
            </w:r>
          </w:p>
        </w:tc>
        <w:tc>
          <w:tcPr>
            <w:tcW w:w="940" w:type="dxa"/>
            <w:vAlign w:val="bottom"/>
            <w:tcBorders>
              <w:right w:val="single" w:sz="8" w:color="2D53A6"/>
            </w:tcBorders>
            <w:shd w:val="clear" w:color="auto" w:fill="2D53A6"/>
          </w:tcPr>
          <w:p>
            <w:pPr>
              <w:spacing w:after="0"/>
              <w:rPr>
                <w:sz w:val="7"/>
                <w:szCs w:val="7"/>
                <w:color w:val="auto"/>
              </w:rPr>
            </w:pPr>
          </w:p>
        </w:tc>
        <w:tc>
          <w:tcPr>
            <w:tcW w:w="9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980" w:type="dxa"/>
            <w:vAlign w:val="bottom"/>
            <w:tcBorders>
              <w:right w:val="single" w:sz="8" w:color="2D53A6"/>
            </w:tcBorders>
            <w:shd w:val="clear" w:color="auto" w:fill="2D53A6"/>
          </w:tcPr>
          <w:p>
            <w:pPr>
              <w:spacing w:after="0"/>
              <w:rPr>
                <w:sz w:val="7"/>
                <w:szCs w:val="7"/>
                <w:color w:val="auto"/>
              </w:rPr>
            </w:pPr>
          </w:p>
        </w:tc>
        <w:tc>
          <w:tcPr>
            <w:tcW w:w="200" w:type="dxa"/>
            <w:vAlign w:val="bottom"/>
            <w:shd w:val="clear" w:color="auto" w:fill="2D53A6"/>
          </w:tcPr>
          <w:p>
            <w:pPr>
              <w:spacing w:after="0"/>
              <w:rPr>
                <w:sz w:val="7"/>
                <w:szCs w:val="7"/>
                <w:color w:val="auto"/>
              </w:rPr>
            </w:pPr>
          </w:p>
        </w:tc>
        <w:tc>
          <w:tcPr>
            <w:tcW w:w="880" w:type="dxa"/>
            <w:vAlign w:val="bottom"/>
            <w:tcBorders>
              <w:right w:val="single" w:sz="8" w:color="2D53A6"/>
            </w:tcBorders>
            <w:gridSpan w:val="2"/>
            <w:vMerge w:val="continue"/>
            <w:shd w:val="clear" w:color="auto" w:fill="2D53A6"/>
          </w:tcPr>
          <w:p>
            <w:pPr>
              <w:spacing w:after="0"/>
              <w:rPr>
                <w:sz w:val="7"/>
                <w:szCs w:val="7"/>
                <w:color w:val="auto"/>
              </w:rPr>
            </w:pPr>
          </w:p>
        </w:tc>
        <w:tc>
          <w:tcPr>
            <w:tcW w:w="180" w:type="dxa"/>
            <w:vAlign w:val="bottom"/>
            <w:shd w:val="clear" w:color="auto" w:fill="2D53A6"/>
          </w:tcPr>
          <w:p>
            <w:pPr>
              <w:spacing w:after="0"/>
              <w:rPr>
                <w:sz w:val="7"/>
                <w:szCs w:val="7"/>
                <w:color w:val="auto"/>
              </w:rPr>
            </w:pPr>
          </w:p>
        </w:tc>
        <w:tc>
          <w:tcPr>
            <w:tcW w:w="820" w:type="dxa"/>
            <w:vAlign w:val="bottom"/>
            <w:tcBorders>
              <w:right w:val="single" w:sz="8" w:color="2D53A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78"/>
        </w:trPr>
        <w:tc>
          <w:tcPr>
            <w:tcW w:w="840" w:type="dxa"/>
            <w:vAlign w:val="bottom"/>
            <w:tcBorders>
              <w:left w:val="single" w:sz="8" w:color="2D53A6"/>
              <w:right w:val="single" w:sz="8" w:color="2D53A6"/>
            </w:tcBorders>
            <w:shd w:val="clear" w:color="auto" w:fill="2D53A6"/>
          </w:tcPr>
          <w:p>
            <w:pPr>
              <w:spacing w:after="0"/>
              <w:rPr>
                <w:sz w:val="6"/>
                <w:szCs w:val="6"/>
                <w:color w:val="auto"/>
              </w:rPr>
            </w:pPr>
          </w:p>
        </w:tc>
        <w:tc>
          <w:tcPr>
            <w:tcW w:w="1440" w:type="dxa"/>
            <w:vAlign w:val="bottom"/>
            <w:shd w:val="clear" w:color="auto" w:fill="2D53A6"/>
          </w:tcPr>
          <w:p>
            <w:pPr>
              <w:spacing w:after="0"/>
              <w:rPr>
                <w:sz w:val="6"/>
                <w:szCs w:val="6"/>
                <w:color w:val="auto"/>
              </w:rPr>
            </w:pPr>
          </w:p>
        </w:tc>
        <w:tc>
          <w:tcPr>
            <w:tcW w:w="200" w:type="dxa"/>
            <w:vAlign w:val="bottom"/>
            <w:tcBorders>
              <w:right w:val="single" w:sz="8" w:color="2D53A6"/>
            </w:tcBorders>
            <w:shd w:val="clear" w:color="auto" w:fill="2D53A6"/>
          </w:tcPr>
          <w:p>
            <w:pPr>
              <w:spacing w:after="0"/>
              <w:rPr>
                <w:sz w:val="6"/>
                <w:szCs w:val="6"/>
                <w:color w:val="auto"/>
              </w:rPr>
            </w:pPr>
          </w:p>
        </w:tc>
        <w:tc>
          <w:tcPr>
            <w:tcW w:w="760" w:type="dxa"/>
            <w:vAlign w:val="bottom"/>
            <w:shd w:val="clear" w:color="auto" w:fill="2D53A6"/>
          </w:tcPr>
          <w:p>
            <w:pPr>
              <w:spacing w:after="0"/>
              <w:rPr>
                <w:sz w:val="6"/>
                <w:szCs w:val="6"/>
                <w:color w:val="auto"/>
              </w:rPr>
            </w:pPr>
          </w:p>
        </w:tc>
        <w:tc>
          <w:tcPr>
            <w:tcW w:w="100" w:type="dxa"/>
            <w:vAlign w:val="bottom"/>
            <w:tcBorders>
              <w:right w:val="single" w:sz="8" w:color="2D53A6"/>
            </w:tcBorders>
            <w:shd w:val="clear" w:color="auto" w:fill="2D53A6"/>
          </w:tcPr>
          <w:p>
            <w:pPr>
              <w:spacing w:after="0"/>
              <w:rPr>
                <w:sz w:val="6"/>
                <w:szCs w:val="6"/>
                <w:color w:val="auto"/>
              </w:rPr>
            </w:pPr>
          </w:p>
        </w:tc>
        <w:tc>
          <w:tcPr>
            <w:tcW w:w="120" w:type="dxa"/>
            <w:vAlign w:val="bottom"/>
            <w:shd w:val="clear" w:color="auto" w:fill="2D53A6"/>
          </w:tcPr>
          <w:p>
            <w:pPr>
              <w:spacing w:after="0"/>
              <w:rPr>
                <w:sz w:val="6"/>
                <w:szCs w:val="6"/>
                <w:color w:val="auto"/>
              </w:rPr>
            </w:pPr>
          </w:p>
        </w:tc>
        <w:tc>
          <w:tcPr>
            <w:tcW w:w="600" w:type="dxa"/>
            <w:vAlign w:val="bottom"/>
            <w:vMerge w:val="restart"/>
            <w:shd w:val="clear" w:color="auto" w:fill="2D53A6"/>
          </w:tcPr>
          <w:p>
            <w:pPr>
              <w:jc w:val="center"/>
              <w:ind w:left="48"/>
              <w:spacing w:after="0" w:line="145" w:lineRule="exact"/>
              <w:rPr>
                <w:sz w:val="20"/>
                <w:szCs w:val="20"/>
                <w:color w:val="auto"/>
              </w:rPr>
            </w:pPr>
            <w:r>
              <w:rPr>
                <w:rFonts w:ascii="Arial" w:cs="Arial" w:eastAsia="Arial" w:hAnsi="Arial"/>
                <w:sz w:val="14"/>
                <w:szCs w:val="14"/>
                <w:b w:val="1"/>
                <w:bCs w:val="1"/>
                <w:color w:val="FFFFFF"/>
              </w:rPr>
              <w:t>Thres-</w:t>
            </w:r>
          </w:p>
        </w:tc>
        <w:tc>
          <w:tcPr>
            <w:tcW w:w="240" w:type="dxa"/>
            <w:vAlign w:val="bottom"/>
            <w:tcBorders>
              <w:right w:val="single" w:sz="8" w:color="2D53A6"/>
            </w:tcBorders>
            <w:shd w:val="clear" w:color="auto" w:fill="2D53A6"/>
          </w:tcPr>
          <w:p>
            <w:pPr>
              <w:spacing w:after="0"/>
              <w:rPr>
                <w:sz w:val="6"/>
                <w:szCs w:val="6"/>
                <w:color w:val="auto"/>
              </w:rPr>
            </w:pPr>
          </w:p>
        </w:tc>
        <w:tc>
          <w:tcPr>
            <w:tcW w:w="960" w:type="dxa"/>
            <w:vAlign w:val="bottom"/>
            <w:tcBorders>
              <w:right w:val="single" w:sz="8" w:color="2D53A6"/>
            </w:tcBorders>
            <w:vMerge w:val="continue"/>
            <w:shd w:val="clear" w:color="auto" w:fill="2D53A6"/>
          </w:tcPr>
          <w:p>
            <w:pPr>
              <w:spacing w:after="0"/>
              <w:rPr>
                <w:sz w:val="6"/>
                <w:szCs w:val="6"/>
                <w:color w:val="auto"/>
              </w:rPr>
            </w:pPr>
          </w:p>
        </w:tc>
        <w:tc>
          <w:tcPr>
            <w:tcW w:w="1000" w:type="dxa"/>
            <w:vAlign w:val="bottom"/>
            <w:tcBorders>
              <w:right w:val="single" w:sz="8" w:color="2D53A6"/>
            </w:tcBorders>
            <w:vMerge w:val="continue"/>
            <w:shd w:val="clear" w:color="auto" w:fill="2D53A6"/>
          </w:tcPr>
          <w:p>
            <w:pPr>
              <w:spacing w:after="0"/>
              <w:rPr>
                <w:sz w:val="6"/>
                <w:szCs w:val="6"/>
                <w:color w:val="auto"/>
              </w:rPr>
            </w:pPr>
          </w:p>
        </w:tc>
        <w:tc>
          <w:tcPr>
            <w:tcW w:w="940" w:type="dxa"/>
            <w:vAlign w:val="bottom"/>
            <w:tcBorders>
              <w:right w:val="single" w:sz="8" w:color="2D53A6"/>
            </w:tcBorders>
            <w:vMerge w:val="restart"/>
            <w:shd w:val="clear" w:color="auto" w:fill="2D53A6"/>
          </w:tcPr>
          <w:p>
            <w:pPr>
              <w:jc w:val="center"/>
              <w:spacing w:after="0" w:line="145" w:lineRule="exact"/>
              <w:rPr>
                <w:sz w:val="20"/>
                <w:szCs w:val="20"/>
                <w:color w:val="auto"/>
              </w:rPr>
            </w:pPr>
            <w:r>
              <w:rPr>
                <w:rFonts w:ascii="Arial" w:cs="Arial" w:eastAsia="Arial" w:hAnsi="Arial"/>
                <w:sz w:val="14"/>
                <w:szCs w:val="14"/>
                <w:b w:val="1"/>
                <w:bCs w:val="1"/>
                <w:color w:val="FFFFFF"/>
              </w:rPr>
              <w:t>Thres-</w:t>
            </w:r>
          </w:p>
        </w:tc>
        <w:tc>
          <w:tcPr>
            <w:tcW w:w="980" w:type="dxa"/>
            <w:vAlign w:val="bottom"/>
            <w:tcBorders>
              <w:right w:val="single" w:sz="8" w:color="2D53A6"/>
            </w:tcBorders>
            <w:vMerge w:val="continue"/>
            <w:shd w:val="clear" w:color="auto" w:fill="2D53A6"/>
          </w:tcPr>
          <w:p>
            <w:pPr>
              <w:spacing w:after="0"/>
              <w:rPr>
                <w:sz w:val="6"/>
                <w:szCs w:val="6"/>
                <w:color w:val="auto"/>
              </w:rPr>
            </w:pPr>
          </w:p>
        </w:tc>
        <w:tc>
          <w:tcPr>
            <w:tcW w:w="980" w:type="dxa"/>
            <w:vAlign w:val="bottom"/>
            <w:tcBorders>
              <w:right w:val="single" w:sz="8" w:color="2D53A6"/>
            </w:tcBorders>
            <w:vMerge w:val="restart"/>
            <w:shd w:val="clear" w:color="auto" w:fill="2D53A6"/>
          </w:tcPr>
          <w:p>
            <w:pPr>
              <w:jc w:val="center"/>
              <w:spacing w:after="0" w:line="145" w:lineRule="exact"/>
              <w:rPr>
                <w:sz w:val="20"/>
                <w:szCs w:val="20"/>
                <w:color w:val="auto"/>
              </w:rPr>
            </w:pPr>
            <w:r>
              <w:rPr>
                <w:rFonts w:ascii="Arial" w:cs="Arial" w:eastAsia="Arial" w:hAnsi="Arial"/>
                <w:sz w:val="14"/>
                <w:szCs w:val="14"/>
                <w:b w:val="1"/>
                <w:bCs w:val="1"/>
                <w:color w:val="FFFFFF"/>
              </w:rPr>
              <w:t>Maxi-</w:t>
            </w:r>
          </w:p>
        </w:tc>
        <w:tc>
          <w:tcPr>
            <w:tcW w:w="200" w:type="dxa"/>
            <w:vAlign w:val="bottom"/>
            <w:shd w:val="clear" w:color="auto" w:fill="2D53A6"/>
          </w:tcPr>
          <w:p>
            <w:pPr>
              <w:spacing w:after="0"/>
              <w:rPr>
                <w:sz w:val="6"/>
                <w:szCs w:val="6"/>
                <w:color w:val="auto"/>
              </w:rPr>
            </w:pPr>
          </w:p>
        </w:tc>
        <w:tc>
          <w:tcPr>
            <w:tcW w:w="880" w:type="dxa"/>
            <w:vAlign w:val="bottom"/>
            <w:tcBorders>
              <w:right w:val="single" w:sz="8" w:color="2D53A6"/>
            </w:tcBorders>
            <w:gridSpan w:val="2"/>
            <w:vMerge w:val="restart"/>
            <w:shd w:val="clear" w:color="auto" w:fill="2D53A6"/>
          </w:tcPr>
          <w:p>
            <w:pPr>
              <w:jc w:val="center"/>
              <w:ind w:right="120"/>
              <w:spacing w:after="0" w:line="145" w:lineRule="exact"/>
              <w:rPr>
                <w:sz w:val="20"/>
                <w:szCs w:val="20"/>
                <w:color w:val="auto"/>
              </w:rPr>
            </w:pPr>
            <w:r>
              <w:rPr>
                <w:rFonts w:ascii="Arial" w:cs="Arial" w:eastAsia="Arial" w:hAnsi="Arial"/>
                <w:sz w:val="14"/>
                <w:szCs w:val="14"/>
                <w:b w:val="1"/>
                <w:bCs w:val="1"/>
                <w:color w:val="FFFFFF"/>
              </w:rPr>
              <w:t>of Stock</w:t>
            </w:r>
          </w:p>
        </w:tc>
        <w:tc>
          <w:tcPr>
            <w:tcW w:w="180" w:type="dxa"/>
            <w:vAlign w:val="bottom"/>
            <w:shd w:val="clear" w:color="auto" w:fill="2D53A6"/>
          </w:tcPr>
          <w:p>
            <w:pPr>
              <w:spacing w:after="0"/>
              <w:rPr>
                <w:sz w:val="6"/>
                <w:szCs w:val="6"/>
                <w:color w:val="auto"/>
              </w:rPr>
            </w:pPr>
          </w:p>
        </w:tc>
        <w:tc>
          <w:tcPr>
            <w:tcW w:w="820" w:type="dxa"/>
            <w:vAlign w:val="bottom"/>
            <w:tcBorders>
              <w:right w:val="single" w:sz="8" w:color="2D53A6"/>
            </w:tcBorders>
            <w:vMerge w:val="continue"/>
            <w:shd w:val="clear" w:color="auto" w:fill="2D53A6"/>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840" w:type="dxa"/>
            <w:vAlign w:val="bottom"/>
            <w:tcBorders>
              <w:left w:val="single" w:sz="8" w:color="2D53A6"/>
              <w:right w:val="single" w:sz="8" w:color="2D53A6"/>
            </w:tcBorders>
            <w:shd w:val="clear" w:color="auto" w:fill="2D53A6"/>
          </w:tcPr>
          <w:p>
            <w:pPr>
              <w:spacing w:after="0"/>
              <w:rPr>
                <w:sz w:val="5"/>
                <w:szCs w:val="5"/>
                <w:color w:val="auto"/>
              </w:rPr>
            </w:pPr>
          </w:p>
        </w:tc>
        <w:tc>
          <w:tcPr>
            <w:tcW w:w="1440" w:type="dxa"/>
            <w:vAlign w:val="bottom"/>
            <w:shd w:val="clear" w:color="auto" w:fill="2D53A6"/>
          </w:tcPr>
          <w:p>
            <w:pPr>
              <w:spacing w:after="0"/>
              <w:rPr>
                <w:sz w:val="5"/>
                <w:szCs w:val="5"/>
                <w:color w:val="auto"/>
              </w:rPr>
            </w:pPr>
          </w:p>
        </w:tc>
        <w:tc>
          <w:tcPr>
            <w:tcW w:w="200" w:type="dxa"/>
            <w:vAlign w:val="bottom"/>
            <w:tcBorders>
              <w:right w:val="single" w:sz="8" w:color="2D53A6"/>
            </w:tcBorders>
            <w:shd w:val="clear" w:color="auto" w:fill="2D53A6"/>
          </w:tcPr>
          <w:p>
            <w:pPr>
              <w:spacing w:after="0"/>
              <w:rPr>
                <w:sz w:val="5"/>
                <w:szCs w:val="5"/>
                <w:color w:val="auto"/>
              </w:rPr>
            </w:pPr>
          </w:p>
        </w:tc>
        <w:tc>
          <w:tcPr>
            <w:tcW w:w="760" w:type="dxa"/>
            <w:vAlign w:val="bottom"/>
            <w:shd w:val="clear" w:color="auto" w:fill="2D53A6"/>
          </w:tcPr>
          <w:p>
            <w:pPr>
              <w:spacing w:after="0"/>
              <w:rPr>
                <w:sz w:val="5"/>
                <w:szCs w:val="5"/>
                <w:color w:val="auto"/>
              </w:rPr>
            </w:pPr>
          </w:p>
        </w:tc>
        <w:tc>
          <w:tcPr>
            <w:tcW w:w="100" w:type="dxa"/>
            <w:vAlign w:val="bottom"/>
            <w:tcBorders>
              <w:right w:val="single" w:sz="8" w:color="2D53A6"/>
            </w:tcBorders>
            <w:shd w:val="clear" w:color="auto" w:fill="2D53A6"/>
          </w:tcPr>
          <w:p>
            <w:pPr>
              <w:spacing w:after="0"/>
              <w:rPr>
                <w:sz w:val="5"/>
                <w:szCs w:val="5"/>
                <w:color w:val="auto"/>
              </w:rPr>
            </w:pPr>
          </w:p>
        </w:tc>
        <w:tc>
          <w:tcPr>
            <w:tcW w:w="120" w:type="dxa"/>
            <w:vAlign w:val="bottom"/>
            <w:shd w:val="clear" w:color="auto" w:fill="2D53A6"/>
          </w:tcPr>
          <w:p>
            <w:pPr>
              <w:spacing w:after="0"/>
              <w:rPr>
                <w:sz w:val="5"/>
                <w:szCs w:val="5"/>
                <w:color w:val="auto"/>
              </w:rPr>
            </w:pPr>
          </w:p>
        </w:tc>
        <w:tc>
          <w:tcPr>
            <w:tcW w:w="600" w:type="dxa"/>
            <w:vAlign w:val="bottom"/>
            <w:vMerge w:val="continue"/>
            <w:shd w:val="clear" w:color="auto" w:fill="2D53A6"/>
          </w:tcPr>
          <w:p>
            <w:pPr>
              <w:spacing w:after="0"/>
              <w:rPr>
                <w:sz w:val="5"/>
                <w:szCs w:val="5"/>
                <w:color w:val="auto"/>
              </w:rPr>
            </w:pPr>
          </w:p>
        </w:tc>
        <w:tc>
          <w:tcPr>
            <w:tcW w:w="240" w:type="dxa"/>
            <w:vAlign w:val="bottom"/>
            <w:tcBorders>
              <w:right w:val="single" w:sz="8" w:color="2D53A6"/>
            </w:tcBorders>
            <w:shd w:val="clear" w:color="auto" w:fill="2D53A6"/>
          </w:tcPr>
          <w:p>
            <w:pPr>
              <w:spacing w:after="0"/>
              <w:rPr>
                <w:sz w:val="5"/>
                <w:szCs w:val="5"/>
                <w:color w:val="auto"/>
              </w:rPr>
            </w:pPr>
          </w:p>
        </w:tc>
        <w:tc>
          <w:tcPr>
            <w:tcW w:w="960" w:type="dxa"/>
            <w:vAlign w:val="bottom"/>
            <w:tcBorders>
              <w:right w:val="single" w:sz="8" w:color="2D53A6"/>
            </w:tcBorders>
            <w:vMerge w:val="continue"/>
            <w:shd w:val="clear" w:color="auto" w:fill="2D53A6"/>
          </w:tcPr>
          <w:p>
            <w:pPr>
              <w:spacing w:after="0"/>
              <w:rPr>
                <w:sz w:val="5"/>
                <w:szCs w:val="5"/>
                <w:color w:val="auto"/>
              </w:rPr>
            </w:pPr>
          </w:p>
        </w:tc>
        <w:tc>
          <w:tcPr>
            <w:tcW w:w="1000" w:type="dxa"/>
            <w:vAlign w:val="bottom"/>
            <w:tcBorders>
              <w:right w:val="single" w:sz="8" w:color="2D53A6"/>
            </w:tcBorders>
            <w:vMerge w:val="continue"/>
            <w:shd w:val="clear" w:color="auto" w:fill="2D53A6"/>
          </w:tcPr>
          <w:p>
            <w:pPr>
              <w:spacing w:after="0"/>
              <w:rPr>
                <w:sz w:val="5"/>
                <w:szCs w:val="5"/>
                <w:color w:val="auto"/>
              </w:rPr>
            </w:pPr>
          </w:p>
        </w:tc>
        <w:tc>
          <w:tcPr>
            <w:tcW w:w="940" w:type="dxa"/>
            <w:vAlign w:val="bottom"/>
            <w:tcBorders>
              <w:right w:val="single" w:sz="8" w:color="2D53A6"/>
            </w:tcBorders>
            <w:vMerge w:val="continue"/>
            <w:shd w:val="clear" w:color="auto" w:fill="2D53A6"/>
          </w:tcPr>
          <w:p>
            <w:pPr>
              <w:spacing w:after="0"/>
              <w:rPr>
                <w:sz w:val="5"/>
                <w:szCs w:val="5"/>
                <w:color w:val="auto"/>
              </w:rPr>
            </w:pPr>
          </w:p>
        </w:tc>
        <w:tc>
          <w:tcPr>
            <w:tcW w:w="980" w:type="dxa"/>
            <w:vAlign w:val="bottom"/>
            <w:tcBorders>
              <w:right w:val="single" w:sz="8" w:color="2D53A6"/>
            </w:tcBorders>
            <w:vMerge w:val="continue"/>
            <w:shd w:val="clear" w:color="auto" w:fill="2D53A6"/>
          </w:tcPr>
          <w:p>
            <w:pPr>
              <w:spacing w:after="0"/>
              <w:rPr>
                <w:sz w:val="5"/>
                <w:szCs w:val="5"/>
                <w:color w:val="auto"/>
              </w:rPr>
            </w:pPr>
          </w:p>
        </w:tc>
        <w:tc>
          <w:tcPr>
            <w:tcW w:w="980" w:type="dxa"/>
            <w:vAlign w:val="bottom"/>
            <w:tcBorders>
              <w:right w:val="single" w:sz="8" w:color="2D53A6"/>
            </w:tcBorders>
            <w:vMerge w:val="continue"/>
            <w:shd w:val="clear" w:color="auto" w:fill="2D53A6"/>
          </w:tcPr>
          <w:p>
            <w:pPr>
              <w:spacing w:after="0"/>
              <w:rPr>
                <w:sz w:val="5"/>
                <w:szCs w:val="5"/>
                <w:color w:val="auto"/>
              </w:rPr>
            </w:pPr>
          </w:p>
        </w:tc>
        <w:tc>
          <w:tcPr>
            <w:tcW w:w="200" w:type="dxa"/>
            <w:vAlign w:val="bottom"/>
            <w:shd w:val="clear" w:color="auto" w:fill="2D53A6"/>
          </w:tcPr>
          <w:p>
            <w:pPr>
              <w:spacing w:after="0"/>
              <w:rPr>
                <w:sz w:val="5"/>
                <w:szCs w:val="5"/>
                <w:color w:val="auto"/>
              </w:rPr>
            </w:pPr>
          </w:p>
        </w:tc>
        <w:tc>
          <w:tcPr>
            <w:tcW w:w="880" w:type="dxa"/>
            <w:vAlign w:val="bottom"/>
            <w:tcBorders>
              <w:right w:val="single" w:sz="8" w:color="2D53A6"/>
            </w:tcBorders>
            <w:gridSpan w:val="2"/>
            <w:vMerge w:val="continue"/>
            <w:shd w:val="clear" w:color="auto" w:fill="2D53A6"/>
          </w:tcPr>
          <w:p>
            <w:pPr>
              <w:spacing w:after="0"/>
              <w:rPr>
                <w:sz w:val="5"/>
                <w:szCs w:val="5"/>
                <w:color w:val="auto"/>
              </w:rPr>
            </w:pPr>
          </w:p>
        </w:tc>
        <w:tc>
          <w:tcPr>
            <w:tcW w:w="180" w:type="dxa"/>
            <w:vAlign w:val="bottom"/>
            <w:shd w:val="clear" w:color="auto" w:fill="2D53A6"/>
          </w:tcPr>
          <w:p>
            <w:pPr>
              <w:spacing w:after="0"/>
              <w:rPr>
                <w:sz w:val="5"/>
                <w:szCs w:val="5"/>
                <w:color w:val="auto"/>
              </w:rPr>
            </w:pPr>
          </w:p>
        </w:tc>
        <w:tc>
          <w:tcPr>
            <w:tcW w:w="820" w:type="dxa"/>
            <w:vAlign w:val="bottom"/>
            <w:tcBorders>
              <w:right w:val="single" w:sz="8" w:color="2D53A6"/>
            </w:tcBorders>
            <w:vMerge w:val="restart"/>
            <w:shd w:val="clear" w:color="auto" w:fill="2D53A6"/>
          </w:tcPr>
          <w:p>
            <w:pPr>
              <w:jc w:val="center"/>
              <w:spacing w:after="0" w:line="229" w:lineRule="exact"/>
              <w:rPr>
                <w:sz w:val="20"/>
                <w:szCs w:val="20"/>
                <w:color w:val="auto"/>
              </w:rPr>
            </w:pPr>
            <w:r>
              <w:rPr>
                <w:rFonts w:ascii="Arial" w:cs="Arial" w:eastAsia="Arial" w:hAnsi="Arial"/>
                <w:sz w:val="14"/>
                <w:szCs w:val="14"/>
                <w:b w:val="1"/>
                <w:bCs w:val="1"/>
                <w:color w:val="FFFFFF"/>
                <w:w w:val="90"/>
              </w:rPr>
              <w:t xml:space="preserve">($) </w:t>
            </w:r>
            <w:r>
              <w:rPr>
                <w:rFonts w:ascii="Arial" w:cs="Arial" w:eastAsia="Arial" w:hAnsi="Arial"/>
                <w:sz w:val="23"/>
                <w:szCs w:val="23"/>
                <w:b w:val="1"/>
                <w:bCs w:val="1"/>
                <w:color w:val="FFFFFF"/>
                <w:w w:val="90"/>
                <w:vertAlign w:val="superscript"/>
              </w:rPr>
              <w:t>(4)</w:t>
            </w:r>
          </w:p>
        </w:tc>
        <w:tc>
          <w:tcPr>
            <w:tcW w:w="0" w:type="dxa"/>
            <w:vAlign w:val="bottom"/>
          </w:tcPr>
          <w:p>
            <w:pPr>
              <w:spacing w:after="0"/>
              <w:rPr>
                <w:sz w:val="1"/>
                <w:szCs w:val="1"/>
                <w:color w:val="auto"/>
              </w:rPr>
            </w:pPr>
          </w:p>
        </w:tc>
      </w:tr>
      <w:tr>
        <w:trPr>
          <w:trHeight w:val="177"/>
        </w:trPr>
        <w:tc>
          <w:tcPr>
            <w:tcW w:w="840" w:type="dxa"/>
            <w:vAlign w:val="bottom"/>
            <w:tcBorders>
              <w:left w:val="single" w:sz="8" w:color="2D53A6"/>
              <w:right w:val="single" w:sz="8" w:color="2D53A6"/>
            </w:tcBorders>
            <w:shd w:val="clear" w:color="auto" w:fill="2D53A6"/>
          </w:tcPr>
          <w:p>
            <w:pPr>
              <w:spacing w:after="0"/>
              <w:rPr>
                <w:sz w:val="15"/>
                <w:szCs w:val="15"/>
                <w:color w:val="auto"/>
              </w:rPr>
            </w:pPr>
          </w:p>
        </w:tc>
        <w:tc>
          <w:tcPr>
            <w:tcW w:w="1440" w:type="dxa"/>
            <w:vAlign w:val="bottom"/>
            <w:shd w:val="clear" w:color="auto" w:fill="2D53A6"/>
          </w:tcPr>
          <w:p>
            <w:pPr>
              <w:spacing w:after="0"/>
              <w:rPr>
                <w:sz w:val="15"/>
                <w:szCs w:val="15"/>
                <w:color w:val="auto"/>
              </w:rPr>
            </w:pPr>
          </w:p>
        </w:tc>
        <w:tc>
          <w:tcPr>
            <w:tcW w:w="200" w:type="dxa"/>
            <w:vAlign w:val="bottom"/>
            <w:tcBorders>
              <w:right w:val="single" w:sz="8" w:color="2D53A6"/>
            </w:tcBorders>
            <w:shd w:val="clear" w:color="auto" w:fill="2D53A6"/>
          </w:tcPr>
          <w:p>
            <w:pPr>
              <w:spacing w:after="0"/>
              <w:rPr>
                <w:sz w:val="15"/>
                <w:szCs w:val="15"/>
                <w:color w:val="auto"/>
              </w:rPr>
            </w:pPr>
          </w:p>
        </w:tc>
        <w:tc>
          <w:tcPr>
            <w:tcW w:w="760" w:type="dxa"/>
            <w:vAlign w:val="bottom"/>
            <w:shd w:val="clear" w:color="auto" w:fill="2D53A6"/>
          </w:tcPr>
          <w:p>
            <w:pPr>
              <w:spacing w:after="0"/>
              <w:rPr>
                <w:sz w:val="15"/>
                <w:szCs w:val="15"/>
                <w:color w:val="auto"/>
              </w:rPr>
            </w:pPr>
          </w:p>
        </w:tc>
        <w:tc>
          <w:tcPr>
            <w:tcW w:w="100" w:type="dxa"/>
            <w:vAlign w:val="bottom"/>
            <w:tcBorders>
              <w:right w:val="single" w:sz="8" w:color="2D53A6"/>
            </w:tcBorders>
            <w:shd w:val="clear" w:color="auto" w:fill="2D53A6"/>
          </w:tcPr>
          <w:p>
            <w:pPr>
              <w:spacing w:after="0"/>
              <w:rPr>
                <w:sz w:val="15"/>
                <w:szCs w:val="15"/>
                <w:color w:val="auto"/>
              </w:rPr>
            </w:pPr>
          </w:p>
        </w:tc>
        <w:tc>
          <w:tcPr>
            <w:tcW w:w="120" w:type="dxa"/>
            <w:vAlign w:val="bottom"/>
            <w:shd w:val="clear" w:color="auto" w:fill="2D53A6"/>
          </w:tcPr>
          <w:p>
            <w:pPr>
              <w:spacing w:after="0"/>
              <w:rPr>
                <w:sz w:val="15"/>
                <w:szCs w:val="15"/>
                <w:color w:val="auto"/>
              </w:rPr>
            </w:pPr>
          </w:p>
        </w:tc>
        <w:tc>
          <w:tcPr>
            <w:tcW w:w="600" w:type="dxa"/>
            <w:vAlign w:val="bottom"/>
            <w:shd w:val="clear" w:color="auto" w:fill="2D53A6"/>
          </w:tcPr>
          <w:p>
            <w:pPr>
              <w:jc w:val="center"/>
              <w:ind w:left="28"/>
              <w:spacing w:after="0"/>
              <w:rPr>
                <w:sz w:val="20"/>
                <w:szCs w:val="20"/>
                <w:color w:val="auto"/>
              </w:rPr>
            </w:pPr>
            <w:r>
              <w:rPr>
                <w:rFonts w:ascii="Arial" w:cs="Arial" w:eastAsia="Arial" w:hAnsi="Arial"/>
                <w:sz w:val="14"/>
                <w:szCs w:val="14"/>
                <w:b w:val="1"/>
                <w:bCs w:val="1"/>
                <w:color w:val="FFFFFF"/>
              </w:rPr>
              <w:t>hold</w:t>
            </w:r>
          </w:p>
        </w:tc>
        <w:tc>
          <w:tcPr>
            <w:tcW w:w="240" w:type="dxa"/>
            <w:vAlign w:val="bottom"/>
            <w:tcBorders>
              <w:right w:val="single" w:sz="8" w:color="2D53A6"/>
            </w:tcBorders>
            <w:shd w:val="clear" w:color="auto" w:fill="2D53A6"/>
          </w:tcPr>
          <w:p>
            <w:pPr>
              <w:spacing w:after="0"/>
              <w:rPr>
                <w:sz w:val="15"/>
                <w:szCs w:val="15"/>
                <w:color w:val="auto"/>
              </w:rPr>
            </w:pPr>
          </w:p>
        </w:tc>
        <w:tc>
          <w:tcPr>
            <w:tcW w:w="9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000" w:type="dxa"/>
            <w:vAlign w:val="bottom"/>
            <w:tcBorders>
              <w:right w:val="single" w:sz="8" w:color="2D53A6"/>
            </w:tcBorders>
            <w:shd w:val="clear" w:color="auto" w:fill="2D53A6"/>
          </w:tcPr>
          <w:p>
            <w:pPr>
              <w:jc w:val="right"/>
              <w:ind w:right="148"/>
              <w:spacing w:after="0"/>
              <w:rPr>
                <w:sz w:val="20"/>
                <w:szCs w:val="20"/>
                <w:color w:val="auto"/>
              </w:rPr>
            </w:pPr>
            <w:r>
              <w:rPr>
                <w:rFonts w:ascii="Arial" w:cs="Arial" w:eastAsia="Arial" w:hAnsi="Arial"/>
                <w:sz w:val="14"/>
                <w:szCs w:val="14"/>
                <w:b w:val="1"/>
                <w:bCs w:val="1"/>
                <w:color w:val="FFFFFF"/>
              </w:rPr>
              <w:t>mum ($)</w:t>
            </w:r>
          </w:p>
        </w:tc>
        <w:tc>
          <w:tcPr>
            <w:tcW w:w="9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hold</w:t>
            </w:r>
          </w:p>
        </w:tc>
        <w:tc>
          <w:tcPr>
            <w:tcW w:w="9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9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mum</w:t>
            </w:r>
          </w:p>
        </w:tc>
        <w:tc>
          <w:tcPr>
            <w:tcW w:w="200" w:type="dxa"/>
            <w:vAlign w:val="bottom"/>
            <w:shd w:val="clear" w:color="auto" w:fill="2D53A6"/>
          </w:tcPr>
          <w:p>
            <w:pPr>
              <w:spacing w:after="0"/>
              <w:rPr>
                <w:sz w:val="15"/>
                <w:szCs w:val="15"/>
                <w:color w:val="auto"/>
              </w:rPr>
            </w:pPr>
          </w:p>
        </w:tc>
        <w:tc>
          <w:tcPr>
            <w:tcW w:w="880" w:type="dxa"/>
            <w:vAlign w:val="bottom"/>
            <w:tcBorders>
              <w:right w:val="single" w:sz="8" w:color="2D53A6"/>
            </w:tcBorders>
            <w:gridSpan w:val="2"/>
            <w:shd w:val="clear" w:color="auto" w:fill="2D53A6"/>
          </w:tcPr>
          <w:p>
            <w:pPr>
              <w:jc w:val="center"/>
              <w:ind w:right="120"/>
              <w:spacing w:after="0"/>
              <w:rPr>
                <w:sz w:val="20"/>
                <w:szCs w:val="20"/>
                <w:color w:val="auto"/>
              </w:rPr>
            </w:pPr>
            <w:r>
              <w:rPr>
                <w:rFonts w:ascii="Arial" w:cs="Arial" w:eastAsia="Arial" w:hAnsi="Arial"/>
                <w:sz w:val="14"/>
                <w:szCs w:val="14"/>
                <w:b w:val="1"/>
                <w:bCs w:val="1"/>
                <w:color w:val="FFFFFF"/>
              </w:rPr>
              <w:t>or Units</w:t>
            </w:r>
          </w:p>
        </w:tc>
        <w:tc>
          <w:tcPr>
            <w:tcW w:w="180" w:type="dxa"/>
            <w:vAlign w:val="bottom"/>
            <w:shd w:val="clear" w:color="auto" w:fill="2D53A6"/>
          </w:tcPr>
          <w:p>
            <w:pPr>
              <w:spacing w:after="0"/>
              <w:rPr>
                <w:sz w:val="15"/>
                <w:szCs w:val="15"/>
                <w:color w:val="auto"/>
              </w:rPr>
            </w:pPr>
          </w:p>
        </w:tc>
        <w:tc>
          <w:tcPr>
            <w:tcW w:w="820" w:type="dxa"/>
            <w:vAlign w:val="bottom"/>
            <w:tcBorders>
              <w:right w:val="single" w:sz="8" w:color="2D53A6"/>
            </w:tcBorders>
            <w:vMerge w:val="continue"/>
            <w:shd w:val="clear" w:color="auto" w:fill="2D53A6"/>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40" w:type="dxa"/>
            <w:vAlign w:val="bottom"/>
            <w:tcBorders>
              <w:left w:val="single" w:sz="8" w:color="2D53A6"/>
              <w:bottom w:val="single" w:sz="8" w:color="2D53A6"/>
              <w:right w:val="single" w:sz="8" w:color="2D53A6"/>
            </w:tcBorders>
            <w:shd w:val="clear" w:color="auto" w:fill="2D53A6"/>
          </w:tcPr>
          <w:p>
            <w:pPr>
              <w:spacing w:after="0"/>
              <w:rPr>
                <w:sz w:val="16"/>
                <w:szCs w:val="16"/>
                <w:color w:val="auto"/>
              </w:rPr>
            </w:pPr>
          </w:p>
        </w:tc>
        <w:tc>
          <w:tcPr>
            <w:tcW w:w="1440" w:type="dxa"/>
            <w:vAlign w:val="bottom"/>
            <w:shd w:val="clear" w:color="auto" w:fill="2D53A6"/>
          </w:tcPr>
          <w:p>
            <w:pPr>
              <w:spacing w:after="0"/>
              <w:rPr>
                <w:sz w:val="16"/>
                <w:szCs w:val="16"/>
                <w:color w:val="auto"/>
              </w:rPr>
            </w:pPr>
          </w:p>
        </w:tc>
        <w:tc>
          <w:tcPr>
            <w:tcW w:w="200" w:type="dxa"/>
            <w:vAlign w:val="bottom"/>
            <w:tcBorders>
              <w:right w:val="single" w:sz="8" w:color="2D53A6"/>
            </w:tcBorders>
            <w:shd w:val="clear" w:color="auto" w:fill="2D53A6"/>
          </w:tcPr>
          <w:p>
            <w:pPr>
              <w:spacing w:after="0"/>
              <w:rPr>
                <w:sz w:val="16"/>
                <w:szCs w:val="16"/>
                <w:color w:val="auto"/>
              </w:rPr>
            </w:pPr>
          </w:p>
        </w:tc>
        <w:tc>
          <w:tcPr>
            <w:tcW w:w="860" w:type="dxa"/>
            <w:vAlign w:val="bottom"/>
            <w:tcBorders>
              <w:right w:val="single" w:sz="8" w:color="2D53A6"/>
            </w:tcBorders>
            <w:gridSpan w:val="2"/>
            <w:shd w:val="clear" w:color="auto" w:fill="2D53A6"/>
          </w:tcPr>
          <w:p>
            <w:pPr>
              <w:spacing w:after="0"/>
              <w:rPr>
                <w:sz w:val="16"/>
                <w:szCs w:val="16"/>
                <w:color w:val="auto"/>
              </w:rPr>
            </w:pPr>
          </w:p>
        </w:tc>
        <w:tc>
          <w:tcPr>
            <w:tcW w:w="120" w:type="dxa"/>
            <w:vAlign w:val="bottom"/>
            <w:shd w:val="clear" w:color="auto" w:fill="2D53A6"/>
          </w:tcPr>
          <w:p>
            <w:pPr>
              <w:spacing w:after="0"/>
              <w:rPr>
                <w:sz w:val="16"/>
                <w:szCs w:val="16"/>
                <w:color w:val="auto"/>
              </w:rPr>
            </w:pPr>
          </w:p>
        </w:tc>
        <w:tc>
          <w:tcPr>
            <w:tcW w:w="600" w:type="dxa"/>
            <w:vAlign w:val="bottom"/>
            <w:shd w:val="clear" w:color="auto" w:fill="2D53A6"/>
          </w:tcPr>
          <w:p>
            <w:pPr>
              <w:jc w:val="center"/>
              <w:ind w:left="28"/>
              <w:spacing w:after="0"/>
              <w:rPr>
                <w:sz w:val="20"/>
                <w:szCs w:val="20"/>
                <w:color w:val="auto"/>
              </w:rPr>
            </w:pPr>
            <w:r>
              <w:rPr>
                <w:rFonts w:ascii="Arial" w:cs="Arial" w:eastAsia="Arial" w:hAnsi="Arial"/>
                <w:sz w:val="14"/>
                <w:szCs w:val="14"/>
                <w:b w:val="1"/>
                <w:bCs w:val="1"/>
                <w:color w:val="FFFFFF"/>
              </w:rPr>
              <w:t>($)</w:t>
            </w:r>
          </w:p>
        </w:tc>
        <w:tc>
          <w:tcPr>
            <w:tcW w:w="240" w:type="dxa"/>
            <w:vAlign w:val="bottom"/>
            <w:tcBorders>
              <w:right w:val="single" w:sz="8" w:color="2D53A6"/>
            </w:tcBorders>
            <w:shd w:val="clear" w:color="auto" w:fill="2D53A6"/>
          </w:tcPr>
          <w:p>
            <w:pPr>
              <w:spacing w:after="0"/>
              <w:rPr>
                <w:sz w:val="16"/>
                <w:szCs w:val="16"/>
                <w:color w:val="auto"/>
              </w:rPr>
            </w:pPr>
          </w:p>
        </w:tc>
        <w:tc>
          <w:tcPr>
            <w:tcW w:w="960" w:type="dxa"/>
            <w:vAlign w:val="bottom"/>
            <w:tcBorders>
              <w:right w:val="single" w:sz="8" w:color="2D53A6"/>
            </w:tcBorders>
            <w:shd w:val="clear" w:color="auto" w:fill="2D53A6"/>
          </w:tcPr>
          <w:p>
            <w:pPr>
              <w:spacing w:after="0"/>
              <w:rPr>
                <w:sz w:val="16"/>
                <w:szCs w:val="16"/>
                <w:color w:val="auto"/>
              </w:rPr>
            </w:pPr>
          </w:p>
        </w:tc>
        <w:tc>
          <w:tcPr>
            <w:tcW w:w="1000" w:type="dxa"/>
            <w:vAlign w:val="bottom"/>
            <w:tcBorders>
              <w:right w:val="single" w:sz="8" w:color="2D53A6"/>
            </w:tcBorders>
            <w:shd w:val="clear" w:color="auto" w:fill="2D53A6"/>
          </w:tcPr>
          <w:p>
            <w:pPr>
              <w:spacing w:after="0"/>
              <w:rPr>
                <w:sz w:val="16"/>
                <w:szCs w:val="16"/>
                <w:color w:val="auto"/>
              </w:rPr>
            </w:pPr>
          </w:p>
        </w:tc>
        <w:tc>
          <w:tcPr>
            <w:tcW w:w="9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980" w:type="dxa"/>
            <w:vAlign w:val="bottom"/>
            <w:tcBorders>
              <w:right w:val="single" w:sz="8" w:color="2D53A6"/>
            </w:tcBorders>
            <w:shd w:val="clear" w:color="auto" w:fill="2D53A6"/>
          </w:tcPr>
          <w:p>
            <w:pPr>
              <w:spacing w:after="0"/>
              <w:rPr>
                <w:sz w:val="16"/>
                <w:szCs w:val="16"/>
                <w:color w:val="auto"/>
              </w:rPr>
            </w:pPr>
          </w:p>
        </w:tc>
        <w:tc>
          <w:tcPr>
            <w:tcW w:w="9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200" w:type="dxa"/>
            <w:vAlign w:val="bottom"/>
            <w:shd w:val="clear" w:color="auto" w:fill="2D53A6"/>
          </w:tcPr>
          <w:p>
            <w:pPr>
              <w:spacing w:after="0"/>
              <w:rPr>
                <w:sz w:val="16"/>
                <w:szCs w:val="16"/>
                <w:color w:val="auto"/>
              </w:rPr>
            </w:pPr>
          </w:p>
        </w:tc>
        <w:tc>
          <w:tcPr>
            <w:tcW w:w="760" w:type="dxa"/>
            <w:vAlign w:val="bottom"/>
            <w:shd w:val="clear" w:color="auto" w:fill="2D53A6"/>
          </w:tcPr>
          <w:p>
            <w:pPr>
              <w:jc w:val="center"/>
              <w:spacing w:after="0" w:line="172" w:lineRule="exact"/>
              <w:rPr>
                <w:sz w:val="20"/>
                <w:szCs w:val="20"/>
                <w:color w:val="auto"/>
              </w:rPr>
            </w:pPr>
            <w:r>
              <w:rPr>
                <w:rFonts w:ascii="Arial" w:cs="Arial" w:eastAsia="Arial" w:hAnsi="Arial"/>
                <w:sz w:val="12"/>
                <w:szCs w:val="12"/>
                <w:b w:val="1"/>
                <w:bCs w:val="1"/>
                <w:color w:val="FFFFFF"/>
              </w:rPr>
              <w:t xml:space="preserve">(#) </w:t>
            </w:r>
            <w:r>
              <w:rPr>
                <w:rFonts w:ascii="Arial" w:cs="Arial" w:eastAsia="Arial" w:hAnsi="Arial"/>
                <w:sz w:val="19"/>
                <w:szCs w:val="19"/>
                <w:b w:val="1"/>
                <w:bCs w:val="1"/>
                <w:color w:val="FFFFFF"/>
                <w:vertAlign w:val="superscript"/>
              </w:rPr>
              <w:t>(3)</w:t>
            </w:r>
          </w:p>
        </w:tc>
        <w:tc>
          <w:tcPr>
            <w:tcW w:w="120" w:type="dxa"/>
            <w:vAlign w:val="bottom"/>
            <w:tcBorders>
              <w:right w:val="single" w:sz="8" w:color="2D53A6"/>
            </w:tcBorders>
            <w:shd w:val="clear" w:color="auto" w:fill="2D53A6"/>
          </w:tcPr>
          <w:p>
            <w:pPr>
              <w:spacing w:after="0"/>
              <w:rPr>
                <w:sz w:val="16"/>
                <w:szCs w:val="16"/>
                <w:color w:val="auto"/>
              </w:rPr>
            </w:pPr>
          </w:p>
        </w:tc>
        <w:tc>
          <w:tcPr>
            <w:tcW w:w="180" w:type="dxa"/>
            <w:vAlign w:val="bottom"/>
            <w:shd w:val="clear" w:color="auto" w:fill="2D53A6"/>
          </w:tcPr>
          <w:p>
            <w:pPr>
              <w:spacing w:after="0"/>
              <w:rPr>
                <w:sz w:val="16"/>
                <w:szCs w:val="16"/>
                <w:color w:val="auto"/>
              </w:rPr>
            </w:pPr>
          </w:p>
        </w:tc>
        <w:tc>
          <w:tcPr>
            <w:tcW w:w="820" w:type="dxa"/>
            <w:vAlign w:val="bottom"/>
            <w:tcBorders>
              <w:right w:val="single" w:sz="8" w:color="2D53A6"/>
            </w:tcBorders>
            <w:shd w:val="clear" w:color="auto" w:fill="2D53A6"/>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 w:type="dxa"/>
            <w:vAlign w:val="bottom"/>
            <w:tcBorders>
              <w:right w:val="single" w:sz="8" w:color="2D53A6"/>
            </w:tcBorders>
            <w:vMerge w:val="restart"/>
          </w:tcPr>
          <w:p>
            <w:pPr>
              <w:ind w:left="20"/>
              <w:spacing w:after="0"/>
              <w:rPr>
                <w:sz w:val="20"/>
                <w:szCs w:val="20"/>
                <w:color w:val="auto"/>
              </w:rPr>
            </w:pPr>
            <w:r>
              <w:rPr>
                <w:rFonts w:ascii="Arial" w:cs="Arial" w:eastAsia="Arial" w:hAnsi="Arial"/>
                <w:sz w:val="14"/>
                <w:szCs w:val="14"/>
                <w:color w:val="auto"/>
              </w:rPr>
              <w:t>Luis A.</w:t>
            </w:r>
          </w:p>
        </w:tc>
        <w:tc>
          <w:tcPr>
            <w:tcW w:w="1440" w:type="dxa"/>
            <w:vAlign w:val="bottom"/>
            <w:tcBorders>
              <w:bottom w:val="single" w:sz="8" w:color="2D53A6"/>
            </w:tcBorders>
          </w:tcPr>
          <w:p>
            <w:pPr>
              <w:spacing w:after="0" w:line="142" w:lineRule="exact"/>
              <w:rPr>
                <w:sz w:val="20"/>
                <w:szCs w:val="20"/>
                <w:color w:val="auto"/>
              </w:rPr>
            </w:pPr>
            <w:r>
              <w:rPr>
                <w:rFonts w:ascii="Arial" w:cs="Arial" w:eastAsia="Arial" w:hAnsi="Arial"/>
                <w:sz w:val="14"/>
                <w:szCs w:val="14"/>
                <w:color w:val="auto"/>
              </w:rPr>
              <w:t>Cash Incentives</w:t>
            </w:r>
          </w:p>
        </w:tc>
        <w:tc>
          <w:tcPr>
            <w:tcW w:w="200" w:type="dxa"/>
            <w:vAlign w:val="bottom"/>
            <w:tcBorders>
              <w:bottom w:val="single" w:sz="8" w:color="2D53A6"/>
              <w:right w:val="single" w:sz="8" w:color="2D53A6"/>
            </w:tcBorders>
          </w:tcPr>
          <w:p>
            <w:pPr>
              <w:spacing w:after="0"/>
              <w:rPr>
                <w:sz w:val="12"/>
                <w:szCs w:val="12"/>
                <w:color w:val="auto"/>
              </w:rPr>
            </w:pPr>
          </w:p>
        </w:tc>
        <w:tc>
          <w:tcPr>
            <w:tcW w:w="860" w:type="dxa"/>
            <w:vAlign w:val="bottom"/>
            <w:tcBorders>
              <w:bottom w:val="single" w:sz="8" w:color="2D53A6"/>
              <w:right w:val="single" w:sz="8" w:color="2D53A6"/>
            </w:tcBorders>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2D53A6"/>
            </w:tcBorders>
          </w:tcPr>
          <w:p>
            <w:pPr>
              <w:spacing w:after="0"/>
              <w:rPr>
                <w:sz w:val="12"/>
                <w:szCs w:val="12"/>
                <w:color w:val="auto"/>
              </w:rPr>
            </w:pPr>
          </w:p>
        </w:tc>
        <w:tc>
          <w:tcPr>
            <w:tcW w:w="600" w:type="dxa"/>
            <w:vAlign w:val="bottom"/>
            <w:tcBorders>
              <w:bottom w:val="single" w:sz="8" w:color="2D53A6"/>
            </w:tcBorders>
          </w:tcPr>
          <w:p>
            <w:pPr>
              <w:spacing w:after="0"/>
              <w:rPr>
                <w:sz w:val="12"/>
                <w:szCs w:val="12"/>
                <w:color w:val="auto"/>
              </w:rPr>
            </w:pPr>
          </w:p>
        </w:tc>
        <w:tc>
          <w:tcPr>
            <w:tcW w:w="240" w:type="dxa"/>
            <w:vAlign w:val="bottom"/>
            <w:tcBorders>
              <w:bottom w:val="single" w:sz="8" w:color="2D53A6"/>
              <w:right w:val="single" w:sz="8" w:color="2D53A6"/>
            </w:tcBorders>
          </w:tcPr>
          <w:p>
            <w:pPr>
              <w:jc w:val="right"/>
              <w:ind w:right="48"/>
              <w:spacing w:after="0" w:line="142" w:lineRule="exact"/>
              <w:rPr>
                <w:sz w:val="20"/>
                <w:szCs w:val="20"/>
                <w:color w:val="auto"/>
              </w:rPr>
            </w:pPr>
            <w:r>
              <w:rPr>
                <w:rFonts w:ascii="Arial" w:cs="Arial" w:eastAsia="Arial" w:hAnsi="Arial"/>
                <w:sz w:val="14"/>
                <w:szCs w:val="14"/>
                <w:color w:val="auto"/>
              </w:rPr>
              <w:t>0</w:t>
            </w:r>
          </w:p>
        </w:tc>
        <w:tc>
          <w:tcPr>
            <w:tcW w:w="960" w:type="dxa"/>
            <w:vAlign w:val="bottom"/>
            <w:tcBorders>
              <w:bottom w:val="single" w:sz="8" w:color="2D53A6"/>
              <w:right w:val="single" w:sz="8" w:color="2D53A6"/>
            </w:tcBorders>
          </w:tcPr>
          <w:p>
            <w:pPr>
              <w:jc w:val="right"/>
              <w:ind w:right="30"/>
              <w:spacing w:after="0" w:line="142" w:lineRule="exact"/>
              <w:rPr>
                <w:sz w:val="20"/>
                <w:szCs w:val="20"/>
                <w:color w:val="auto"/>
              </w:rPr>
            </w:pPr>
            <w:r>
              <w:rPr>
                <w:rFonts w:ascii="Arial" w:cs="Arial" w:eastAsia="Arial" w:hAnsi="Arial"/>
                <w:sz w:val="14"/>
                <w:szCs w:val="14"/>
                <w:color w:val="auto"/>
              </w:rPr>
              <w:t>786,500</w:t>
            </w:r>
          </w:p>
        </w:tc>
        <w:tc>
          <w:tcPr>
            <w:tcW w:w="1000" w:type="dxa"/>
            <w:vAlign w:val="bottom"/>
            <w:tcBorders>
              <w:bottom w:val="single" w:sz="8" w:color="2D53A6"/>
              <w:right w:val="single" w:sz="8" w:color="2D53A6"/>
            </w:tcBorders>
          </w:tcPr>
          <w:p>
            <w:pPr>
              <w:jc w:val="right"/>
              <w:ind w:right="48"/>
              <w:spacing w:after="0" w:line="142" w:lineRule="exact"/>
              <w:rPr>
                <w:sz w:val="20"/>
                <w:szCs w:val="20"/>
                <w:color w:val="auto"/>
              </w:rPr>
            </w:pPr>
            <w:r>
              <w:rPr>
                <w:rFonts w:ascii="Arial" w:cs="Arial" w:eastAsia="Arial" w:hAnsi="Arial"/>
                <w:sz w:val="14"/>
                <w:szCs w:val="14"/>
                <w:color w:val="auto"/>
              </w:rPr>
              <w:t>1,573,000</w:t>
            </w:r>
          </w:p>
        </w:tc>
        <w:tc>
          <w:tcPr>
            <w:tcW w:w="940" w:type="dxa"/>
            <w:vAlign w:val="bottom"/>
            <w:tcBorders>
              <w:bottom w:val="single" w:sz="8" w:color="2D53A6"/>
              <w:right w:val="single" w:sz="8" w:color="2D53A6"/>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2D53A6"/>
              <w:right w:val="single" w:sz="8" w:color="2D53A6"/>
            </w:tcBorders>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2D53A6"/>
              <w:right w:val="single" w:sz="8" w:color="2D53A6"/>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2D53A6"/>
            </w:tcBorders>
          </w:tcPr>
          <w:p>
            <w:pPr>
              <w:spacing w:after="0"/>
              <w:rPr>
                <w:sz w:val="12"/>
                <w:szCs w:val="12"/>
                <w:color w:val="auto"/>
              </w:rPr>
            </w:pPr>
          </w:p>
        </w:tc>
        <w:tc>
          <w:tcPr>
            <w:tcW w:w="880" w:type="dxa"/>
            <w:vAlign w:val="bottom"/>
            <w:tcBorders>
              <w:bottom w:val="single" w:sz="8" w:color="2D53A6"/>
              <w:right w:val="single" w:sz="8" w:color="2D53A6"/>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2D53A6"/>
            </w:tcBorders>
          </w:tcPr>
          <w:p>
            <w:pPr>
              <w:spacing w:after="0"/>
              <w:rPr>
                <w:sz w:val="12"/>
                <w:szCs w:val="12"/>
                <w:color w:val="auto"/>
              </w:rPr>
            </w:pPr>
          </w:p>
        </w:tc>
        <w:tc>
          <w:tcPr>
            <w:tcW w:w="820" w:type="dxa"/>
            <w:vAlign w:val="bottom"/>
            <w:tcBorders>
              <w:bottom w:val="single" w:sz="8" w:color="2D53A6"/>
              <w:right w:val="single" w:sz="8" w:color="2D53A6"/>
            </w:tcBorders>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840" w:type="dxa"/>
            <w:vAlign w:val="bottom"/>
            <w:tcBorders>
              <w:right w:val="single" w:sz="8" w:color="2D53A6"/>
            </w:tcBorders>
            <w:vMerge w:val="continue"/>
          </w:tcPr>
          <w:p>
            <w:pPr>
              <w:spacing w:after="0"/>
              <w:rPr>
                <w:sz w:val="13"/>
                <w:szCs w:val="13"/>
                <w:color w:val="auto"/>
              </w:rPr>
            </w:pPr>
          </w:p>
        </w:tc>
        <w:tc>
          <w:tcPr>
            <w:tcW w:w="1440" w:type="dxa"/>
            <w:vAlign w:val="bottom"/>
            <w:tcBorders>
              <w:bottom w:val="single" w:sz="8" w:color="2D53A6"/>
            </w:tcBorders>
          </w:tcPr>
          <w:p>
            <w:pPr>
              <w:spacing w:after="0" w:line="155" w:lineRule="exact"/>
              <w:rPr>
                <w:sz w:val="20"/>
                <w:szCs w:val="20"/>
                <w:color w:val="auto"/>
              </w:rPr>
            </w:pPr>
            <w:r>
              <w:rPr>
                <w:rFonts w:ascii="Arial" w:cs="Arial" w:eastAsia="Arial" w:hAnsi="Arial"/>
                <w:sz w:val="14"/>
                <w:szCs w:val="14"/>
                <w:color w:val="auto"/>
              </w:rPr>
              <w:t>Time-based RSUs</w:t>
            </w:r>
          </w:p>
        </w:tc>
        <w:tc>
          <w:tcPr>
            <w:tcW w:w="200" w:type="dxa"/>
            <w:vAlign w:val="bottom"/>
            <w:tcBorders>
              <w:bottom w:val="single" w:sz="8" w:color="2D53A6"/>
              <w:right w:val="single" w:sz="8" w:color="2D53A6"/>
            </w:tcBorders>
          </w:tcPr>
          <w:p>
            <w:pPr>
              <w:spacing w:after="0"/>
              <w:rPr>
                <w:sz w:val="13"/>
                <w:szCs w:val="13"/>
                <w:color w:val="auto"/>
              </w:rPr>
            </w:pPr>
          </w:p>
        </w:tc>
        <w:tc>
          <w:tcPr>
            <w:tcW w:w="860" w:type="dxa"/>
            <w:vAlign w:val="bottom"/>
            <w:tcBorders>
              <w:bottom w:val="single" w:sz="8" w:color="2D53A6"/>
              <w:right w:val="single" w:sz="8" w:color="2D53A6"/>
            </w:tcBorders>
            <w:gridSpan w:val="2"/>
          </w:tcPr>
          <w:p>
            <w:pPr>
              <w:jc w:val="right"/>
              <w:ind w:right="100"/>
              <w:spacing w:after="0" w:line="155" w:lineRule="exact"/>
              <w:rPr>
                <w:sz w:val="20"/>
                <w:szCs w:val="20"/>
                <w:color w:val="auto"/>
              </w:rPr>
            </w:pPr>
            <w:r>
              <w:rPr>
                <w:rFonts w:ascii="Arial" w:cs="Arial" w:eastAsia="Arial" w:hAnsi="Arial"/>
                <w:sz w:val="14"/>
                <w:szCs w:val="14"/>
                <w:color w:val="auto"/>
              </w:rPr>
              <w:t>3/12/2024</w:t>
            </w:r>
          </w:p>
        </w:tc>
        <w:tc>
          <w:tcPr>
            <w:tcW w:w="120" w:type="dxa"/>
            <w:vAlign w:val="bottom"/>
            <w:tcBorders>
              <w:bottom w:val="single" w:sz="8" w:color="2D53A6"/>
            </w:tcBorders>
          </w:tcPr>
          <w:p>
            <w:pPr>
              <w:spacing w:after="0"/>
              <w:rPr>
                <w:sz w:val="13"/>
                <w:szCs w:val="13"/>
                <w:color w:val="auto"/>
              </w:rPr>
            </w:pPr>
          </w:p>
        </w:tc>
        <w:tc>
          <w:tcPr>
            <w:tcW w:w="600" w:type="dxa"/>
            <w:vAlign w:val="bottom"/>
            <w:tcBorders>
              <w:bottom w:val="single" w:sz="8" w:color="2D53A6"/>
            </w:tcBorders>
          </w:tcPr>
          <w:p>
            <w:pPr>
              <w:spacing w:after="0"/>
              <w:rPr>
                <w:sz w:val="13"/>
                <w:szCs w:val="13"/>
                <w:color w:val="auto"/>
              </w:rPr>
            </w:pPr>
          </w:p>
        </w:tc>
        <w:tc>
          <w:tcPr>
            <w:tcW w:w="240" w:type="dxa"/>
            <w:vAlign w:val="bottom"/>
            <w:tcBorders>
              <w:bottom w:val="single" w:sz="8" w:color="2D53A6"/>
              <w:right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2D53A6"/>
              <w:right w:val="single" w:sz="8" w:color="2D53A6"/>
            </w:tcBorders>
          </w:tcPr>
          <w:p>
            <w:pPr>
              <w:jc w:val="right"/>
              <w:ind w:right="30"/>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2D53A6"/>
              <w:right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2D53A6"/>
              <w:right w:val="single" w:sz="8" w:color="2D53A6"/>
            </w:tcBorders>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2D53A6"/>
            </w:tcBorders>
          </w:tcPr>
          <w:p>
            <w:pPr>
              <w:spacing w:after="0"/>
              <w:rPr>
                <w:sz w:val="13"/>
                <w:szCs w:val="13"/>
                <w:color w:val="auto"/>
              </w:rPr>
            </w:pPr>
          </w:p>
        </w:tc>
        <w:tc>
          <w:tcPr>
            <w:tcW w:w="880" w:type="dxa"/>
            <w:vAlign w:val="bottom"/>
            <w:tcBorders>
              <w:bottom w:val="single" w:sz="8" w:color="2D53A6"/>
              <w:right w:val="single" w:sz="8" w:color="2D53A6"/>
            </w:tcBorders>
            <w:gridSpan w:val="2"/>
          </w:tcPr>
          <w:p>
            <w:pPr>
              <w:jc w:val="right"/>
              <w:ind w:right="120"/>
              <w:spacing w:after="0" w:line="155" w:lineRule="exact"/>
              <w:rPr>
                <w:sz w:val="20"/>
                <w:szCs w:val="20"/>
                <w:color w:val="auto"/>
              </w:rPr>
            </w:pPr>
            <w:r>
              <w:rPr>
                <w:rFonts w:ascii="Arial" w:cs="Arial" w:eastAsia="Arial" w:hAnsi="Arial"/>
                <w:sz w:val="14"/>
                <w:szCs w:val="14"/>
                <w:color w:val="auto"/>
              </w:rPr>
              <w:t>49,443</w:t>
            </w:r>
          </w:p>
        </w:tc>
        <w:tc>
          <w:tcPr>
            <w:tcW w:w="180" w:type="dxa"/>
            <w:vAlign w:val="bottom"/>
            <w:tcBorders>
              <w:bottom w:val="single" w:sz="8" w:color="2D53A6"/>
            </w:tcBorders>
          </w:tcPr>
          <w:p>
            <w:pPr>
              <w:spacing w:after="0"/>
              <w:rPr>
                <w:sz w:val="13"/>
                <w:szCs w:val="13"/>
                <w:color w:val="auto"/>
              </w:rPr>
            </w:pPr>
          </w:p>
        </w:tc>
        <w:tc>
          <w:tcPr>
            <w:tcW w:w="820" w:type="dxa"/>
            <w:vAlign w:val="bottom"/>
            <w:tcBorders>
              <w:bottom w:val="single" w:sz="8" w:color="2D53A6"/>
              <w:right w:val="single" w:sz="8" w:color="2D53A6"/>
            </w:tcBorders>
          </w:tcPr>
          <w:p>
            <w:pPr>
              <w:jc w:val="right"/>
              <w:spacing w:after="0" w:line="155" w:lineRule="exact"/>
              <w:rPr>
                <w:sz w:val="20"/>
                <w:szCs w:val="20"/>
                <w:color w:val="auto"/>
              </w:rPr>
            </w:pPr>
            <w:r>
              <w:rPr>
                <w:rFonts w:ascii="Arial" w:cs="Arial" w:eastAsia="Arial" w:hAnsi="Arial"/>
                <w:sz w:val="14"/>
                <w:szCs w:val="14"/>
                <w:color w:val="auto"/>
              </w:rPr>
              <w:t>1,573,276</w:t>
            </w:r>
          </w:p>
        </w:tc>
        <w:tc>
          <w:tcPr>
            <w:tcW w:w="0" w:type="dxa"/>
            <w:vAlign w:val="bottom"/>
          </w:tcPr>
          <w:p>
            <w:pPr>
              <w:spacing w:after="0"/>
              <w:rPr>
                <w:sz w:val="1"/>
                <w:szCs w:val="1"/>
                <w:color w:val="auto"/>
              </w:rPr>
            </w:pPr>
          </w:p>
        </w:tc>
      </w:tr>
      <w:tr>
        <w:trPr>
          <w:trHeight w:val="146"/>
        </w:trPr>
        <w:tc>
          <w:tcPr>
            <w:tcW w:w="840" w:type="dxa"/>
            <w:vAlign w:val="bottom"/>
            <w:tcBorders>
              <w:right w:val="single" w:sz="8" w:color="2D53A6"/>
            </w:tcBorders>
          </w:tcPr>
          <w:p>
            <w:pPr>
              <w:ind w:left="20"/>
              <w:spacing w:after="0" w:line="147" w:lineRule="exact"/>
              <w:rPr>
                <w:sz w:val="20"/>
                <w:szCs w:val="20"/>
                <w:color w:val="auto"/>
              </w:rPr>
            </w:pPr>
            <w:r>
              <w:rPr>
                <w:rFonts w:ascii="Arial" w:cs="Arial" w:eastAsia="Arial" w:hAnsi="Arial"/>
                <w:sz w:val="14"/>
                <w:szCs w:val="14"/>
                <w:color w:val="auto"/>
              </w:rPr>
              <w:t>Müller</w:t>
            </w:r>
          </w:p>
        </w:tc>
        <w:tc>
          <w:tcPr>
            <w:tcW w:w="1440" w:type="dxa"/>
            <w:vAlign w:val="bottom"/>
          </w:tcPr>
          <w:p>
            <w:pPr>
              <w:spacing w:after="0" w:line="147" w:lineRule="exact"/>
              <w:rPr>
                <w:sz w:val="20"/>
                <w:szCs w:val="20"/>
                <w:color w:val="auto"/>
              </w:rPr>
            </w:pPr>
            <w:r>
              <w:rPr>
                <w:rFonts w:ascii="Arial" w:cs="Arial" w:eastAsia="Arial" w:hAnsi="Arial"/>
                <w:sz w:val="14"/>
                <w:szCs w:val="14"/>
                <w:color w:val="auto"/>
              </w:rPr>
              <w:t>Performance-based</w:t>
            </w:r>
          </w:p>
        </w:tc>
        <w:tc>
          <w:tcPr>
            <w:tcW w:w="200" w:type="dxa"/>
            <w:vAlign w:val="bottom"/>
            <w:tcBorders>
              <w:right w:val="single" w:sz="8" w:color="2D53A6"/>
            </w:tcBorders>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right w:val="single" w:sz="8" w:color="2D53A6"/>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Borders>
              <w:right w:val="single" w:sz="8" w:color="2D53A6"/>
            </w:tcBorders>
          </w:tcPr>
          <w:p>
            <w:pPr>
              <w:spacing w:after="0"/>
              <w:rPr>
                <w:sz w:val="12"/>
                <w:szCs w:val="12"/>
                <w:color w:val="auto"/>
              </w:rPr>
            </w:pPr>
          </w:p>
        </w:tc>
        <w:tc>
          <w:tcPr>
            <w:tcW w:w="960" w:type="dxa"/>
            <w:vAlign w:val="bottom"/>
            <w:tcBorders>
              <w:right w:val="single" w:sz="8" w:color="2D53A6"/>
            </w:tcBorders>
          </w:tcPr>
          <w:p>
            <w:pPr>
              <w:spacing w:after="0"/>
              <w:rPr>
                <w:sz w:val="12"/>
                <w:szCs w:val="12"/>
                <w:color w:val="auto"/>
              </w:rPr>
            </w:pPr>
          </w:p>
        </w:tc>
        <w:tc>
          <w:tcPr>
            <w:tcW w:w="1000" w:type="dxa"/>
            <w:vAlign w:val="bottom"/>
            <w:tcBorders>
              <w:right w:val="single" w:sz="8" w:color="2D53A6"/>
            </w:tcBorders>
          </w:tcPr>
          <w:p>
            <w:pPr>
              <w:spacing w:after="0"/>
              <w:rPr>
                <w:sz w:val="12"/>
                <w:szCs w:val="12"/>
                <w:color w:val="auto"/>
              </w:rPr>
            </w:pPr>
          </w:p>
        </w:tc>
        <w:tc>
          <w:tcPr>
            <w:tcW w:w="940" w:type="dxa"/>
            <w:vAlign w:val="bottom"/>
            <w:tcBorders>
              <w:right w:val="single" w:sz="8" w:color="2D53A6"/>
            </w:tcBorders>
          </w:tcPr>
          <w:p>
            <w:pPr>
              <w:spacing w:after="0"/>
              <w:rPr>
                <w:sz w:val="12"/>
                <w:szCs w:val="12"/>
                <w:color w:val="auto"/>
              </w:rPr>
            </w:pPr>
          </w:p>
        </w:tc>
        <w:tc>
          <w:tcPr>
            <w:tcW w:w="980" w:type="dxa"/>
            <w:vAlign w:val="bottom"/>
            <w:tcBorders>
              <w:right w:val="single" w:sz="8" w:color="2D53A6"/>
            </w:tcBorders>
          </w:tcPr>
          <w:p>
            <w:pPr>
              <w:spacing w:after="0"/>
              <w:rPr>
                <w:sz w:val="12"/>
                <w:szCs w:val="12"/>
                <w:color w:val="auto"/>
              </w:rPr>
            </w:pPr>
          </w:p>
        </w:tc>
        <w:tc>
          <w:tcPr>
            <w:tcW w:w="980" w:type="dxa"/>
            <w:vAlign w:val="bottom"/>
            <w:tcBorders>
              <w:right w:val="single" w:sz="8" w:color="2D53A6"/>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Borders>
              <w:right w:val="single" w:sz="8" w:color="2D53A6"/>
            </w:tcBorders>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right w:val="single" w:sz="8" w:color="2D53A6"/>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40" w:type="dxa"/>
            <w:vAlign w:val="bottom"/>
            <w:tcBorders>
              <w:bottom w:val="single" w:sz="8" w:color="2D53A6"/>
              <w:right w:val="single" w:sz="8" w:color="2D53A6"/>
            </w:tcBorders>
          </w:tcPr>
          <w:p>
            <w:pPr>
              <w:spacing w:after="0"/>
              <w:rPr>
                <w:sz w:val="16"/>
                <w:szCs w:val="16"/>
                <w:color w:val="auto"/>
              </w:rPr>
            </w:pPr>
          </w:p>
        </w:tc>
        <w:tc>
          <w:tcPr>
            <w:tcW w:w="1440" w:type="dxa"/>
            <w:vAlign w:val="bottom"/>
            <w:tcBorders>
              <w:bottom w:val="single" w:sz="8" w:color="2D53A6"/>
            </w:tcBorders>
          </w:tcPr>
          <w:p>
            <w:pPr>
              <w:spacing w:after="0"/>
              <w:rPr>
                <w:sz w:val="20"/>
                <w:szCs w:val="20"/>
                <w:color w:val="auto"/>
              </w:rPr>
            </w:pPr>
            <w:r>
              <w:rPr>
                <w:rFonts w:ascii="Arial" w:cs="Arial" w:eastAsia="Arial" w:hAnsi="Arial"/>
                <w:sz w:val="14"/>
                <w:szCs w:val="14"/>
                <w:color w:val="auto"/>
              </w:rPr>
              <w:t>RSUs</w:t>
            </w:r>
          </w:p>
        </w:tc>
        <w:tc>
          <w:tcPr>
            <w:tcW w:w="200" w:type="dxa"/>
            <w:vAlign w:val="bottom"/>
            <w:tcBorders>
              <w:bottom w:val="single" w:sz="8" w:color="2D53A6"/>
              <w:right w:val="single" w:sz="8" w:color="2D53A6"/>
            </w:tcBorders>
          </w:tcPr>
          <w:p>
            <w:pPr>
              <w:spacing w:after="0"/>
              <w:rPr>
                <w:sz w:val="16"/>
                <w:szCs w:val="16"/>
                <w:color w:val="auto"/>
              </w:rPr>
            </w:pPr>
          </w:p>
        </w:tc>
        <w:tc>
          <w:tcPr>
            <w:tcW w:w="860" w:type="dxa"/>
            <w:vAlign w:val="bottom"/>
            <w:tcBorders>
              <w:bottom w:val="single" w:sz="8" w:color="2D53A6"/>
              <w:right w:val="single" w:sz="8" w:color="2D53A6"/>
            </w:tcBorders>
            <w:gridSpan w:val="2"/>
          </w:tcPr>
          <w:p>
            <w:pPr>
              <w:jc w:val="right"/>
              <w:ind w:right="100"/>
              <w:spacing w:after="0"/>
              <w:rPr>
                <w:sz w:val="20"/>
                <w:szCs w:val="20"/>
                <w:color w:val="auto"/>
              </w:rPr>
            </w:pPr>
            <w:r>
              <w:rPr>
                <w:rFonts w:ascii="Arial" w:cs="Arial" w:eastAsia="Arial" w:hAnsi="Arial"/>
                <w:sz w:val="14"/>
                <w:szCs w:val="14"/>
                <w:color w:val="auto"/>
              </w:rPr>
              <w:t>3/12/2024</w:t>
            </w:r>
          </w:p>
        </w:tc>
        <w:tc>
          <w:tcPr>
            <w:tcW w:w="120" w:type="dxa"/>
            <w:vAlign w:val="bottom"/>
            <w:tcBorders>
              <w:bottom w:val="single" w:sz="8" w:color="2D53A6"/>
            </w:tcBorders>
          </w:tcPr>
          <w:p>
            <w:pPr>
              <w:spacing w:after="0"/>
              <w:rPr>
                <w:sz w:val="16"/>
                <w:szCs w:val="16"/>
                <w:color w:val="auto"/>
              </w:rPr>
            </w:pPr>
          </w:p>
        </w:tc>
        <w:tc>
          <w:tcPr>
            <w:tcW w:w="600" w:type="dxa"/>
            <w:vAlign w:val="bottom"/>
            <w:tcBorders>
              <w:bottom w:val="single" w:sz="8" w:color="2D53A6"/>
            </w:tcBorders>
          </w:tcPr>
          <w:p>
            <w:pPr>
              <w:spacing w:after="0"/>
              <w:rPr>
                <w:sz w:val="16"/>
                <w:szCs w:val="16"/>
                <w:color w:val="auto"/>
              </w:rPr>
            </w:pPr>
          </w:p>
        </w:tc>
        <w:tc>
          <w:tcPr>
            <w:tcW w:w="24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2D53A6"/>
              <w:right w:val="single" w:sz="8" w:color="2D53A6"/>
            </w:tcBorders>
          </w:tcPr>
          <w:p>
            <w:pPr>
              <w:jc w:val="right"/>
              <w:ind w:right="3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74,165</w:t>
            </w:r>
          </w:p>
        </w:tc>
        <w:tc>
          <w:tcPr>
            <w:tcW w:w="98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148,330</w:t>
            </w:r>
          </w:p>
        </w:tc>
        <w:tc>
          <w:tcPr>
            <w:tcW w:w="200" w:type="dxa"/>
            <w:vAlign w:val="bottom"/>
            <w:tcBorders>
              <w:bottom w:val="single" w:sz="8" w:color="2D53A6"/>
            </w:tcBorders>
          </w:tcPr>
          <w:p>
            <w:pPr>
              <w:spacing w:after="0"/>
              <w:rPr>
                <w:sz w:val="16"/>
                <w:szCs w:val="16"/>
                <w:color w:val="auto"/>
              </w:rPr>
            </w:pPr>
          </w:p>
        </w:tc>
        <w:tc>
          <w:tcPr>
            <w:tcW w:w="880" w:type="dxa"/>
            <w:vAlign w:val="bottom"/>
            <w:tcBorders>
              <w:bottom w:val="single" w:sz="8" w:color="2D53A6"/>
              <w:right w:val="single" w:sz="8" w:color="2D53A6"/>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2D53A6"/>
            </w:tcBorders>
          </w:tcPr>
          <w:p>
            <w:pPr>
              <w:spacing w:after="0"/>
              <w:rPr>
                <w:sz w:val="16"/>
                <w:szCs w:val="16"/>
                <w:color w:val="auto"/>
              </w:rPr>
            </w:pP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4"/>
                <w:szCs w:val="14"/>
                <w:color w:val="auto"/>
              </w:rPr>
              <w:t>2,518,643</w:t>
            </w:r>
          </w:p>
        </w:tc>
        <w:tc>
          <w:tcPr>
            <w:tcW w:w="0" w:type="dxa"/>
            <w:vAlign w:val="bottom"/>
          </w:tcPr>
          <w:p>
            <w:pPr>
              <w:spacing w:after="0"/>
              <w:rPr>
                <w:sz w:val="1"/>
                <w:szCs w:val="1"/>
                <w:color w:val="auto"/>
              </w:rPr>
            </w:pPr>
          </w:p>
        </w:tc>
      </w:tr>
      <w:tr>
        <w:trPr>
          <w:trHeight w:val="139"/>
        </w:trPr>
        <w:tc>
          <w:tcPr>
            <w:tcW w:w="840" w:type="dxa"/>
            <w:vAlign w:val="bottom"/>
            <w:tcBorders>
              <w:top w:val="single" w:sz="8" w:color="2D53A6"/>
              <w:left w:val="single" w:sz="8" w:color="2D53A6"/>
              <w:bottom w:val="single" w:sz="8" w:color="2D53A6"/>
              <w:right w:val="single" w:sz="8" w:color="2D53A6"/>
            </w:tcBorders>
            <w:vMerge w:val="restart"/>
            <w:shd w:val="clear" w:color="auto" w:fill="E6E6E6"/>
          </w:tcPr>
          <w:p>
            <w:pPr>
              <w:ind w:left="20"/>
              <w:spacing w:after="0"/>
              <w:rPr>
                <w:sz w:val="20"/>
                <w:szCs w:val="20"/>
                <w:color w:val="auto"/>
              </w:rPr>
            </w:pPr>
            <w:r>
              <w:rPr>
                <w:rFonts w:ascii="Arial" w:cs="Arial" w:eastAsia="Arial" w:hAnsi="Arial"/>
                <w:sz w:val="14"/>
                <w:szCs w:val="14"/>
                <w:color w:val="auto"/>
              </w:rPr>
              <w:t>Jeffrey D.</w:t>
            </w:r>
          </w:p>
        </w:tc>
        <w:tc>
          <w:tcPr>
            <w:tcW w:w="1440" w:type="dxa"/>
            <w:vAlign w:val="bottom"/>
            <w:tcBorders>
              <w:top w:val="single" w:sz="8" w:color="E6E6E6"/>
              <w:bottom w:val="single" w:sz="8" w:color="2D53A6"/>
            </w:tcBorders>
            <w:shd w:val="clear" w:color="auto" w:fill="E6E6E6"/>
          </w:tcPr>
          <w:p>
            <w:pPr>
              <w:spacing w:after="0" w:line="139" w:lineRule="exact"/>
              <w:rPr>
                <w:sz w:val="20"/>
                <w:szCs w:val="20"/>
                <w:color w:val="auto"/>
              </w:rPr>
            </w:pPr>
            <w:r>
              <w:rPr>
                <w:rFonts w:ascii="Arial" w:cs="Arial" w:eastAsia="Arial" w:hAnsi="Arial"/>
                <w:sz w:val="14"/>
                <w:szCs w:val="14"/>
                <w:color w:val="auto"/>
              </w:rPr>
              <w:t>Cash Incentives</w:t>
            </w:r>
          </w:p>
        </w:tc>
        <w:tc>
          <w:tcPr>
            <w:tcW w:w="200" w:type="dxa"/>
            <w:vAlign w:val="bottom"/>
            <w:tcBorders>
              <w:top w:val="single" w:sz="8" w:color="E6E6E6"/>
              <w:bottom w:val="single" w:sz="8" w:color="2D53A6"/>
              <w:right w:val="single" w:sz="8" w:color="2D53A6"/>
            </w:tcBorders>
            <w:shd w:val="clear" w:color="auto" w:fill="E6E6E6"/>
          </w:tcPr>
          <w:p>
            <w:pPr>
              <w:spacing w:after="0"/>
              <w:rPr>
                <w:sz w:val="12"/>
                <w:szCs w:val="12"/>
                <w:color w:val="auto"/>
              </w:rPr>
            </w:pPr>
          </w:p>
        </w:tc>
        <w:tc>
          <w:tcPr>
            <w:tcW w:w="860" w:type="dxa"/>
            <w:vAlign w:val="bottom"/>
            <w:tcBorders>
              <w:top w:val="single" w:sz="8" w:color="E6E6E6"/>
              <w:bottom w:val="single" w:sz="8" w:color="2D53A6"/>
              <w:right w:val="single" w:sz="8" w:color="2D53A6"/>
            </w:tcBorders>
            <w:gridSpan w:val="2"/>
            <w:shd w:val="clear" w:color="auto" w:fill="E6E6E6"/>
          </w:tcPr>
          <w:p>
            <w:pPr>
              <w:jc w:val="right"/>
              <w:ind w:right="100"/>
              <w:spacing w:after="0" w:line="13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E6E6E6"/>
              <w:bottom w:val="single" w:sz="8" w:color="2D53A6"/>
            </w:tcBorders>
            <w:shd w:val="clear" w:color="auto" w:fill="E6E6E6"/>
          </w:tcPr>
          <w:p>
            <w:pPr>
              <w:spacing w:after="0"/>
              <w:rPr>
                <w:sz w:val="12"/>
                <w:szCs w:val="12"/>
                <w:color w:val="auto"/>
              </w:rPr>
            </w:pPr>
          </w:p>
        </w:tc>
        <w:tc>
          <w:tcPr>
            <w:tcW w:w="600" w:type="dxa"/>
            <w:vAlign w:val="bottom"/>
            <w:tcBorders>
              <w:top w:val="single" w:sz="8" w:color="E6E6E6"/>
              <w:bottom w:val="single" w:sz="8" w:color="2D53A6"/>
            </w:tcBorders>
            <w:shd w:val="clear" w:color="auto" w:fill="E6E6E6"/>
          </w:tcPr>
          <w:p>
            <w:pPr>
              <w:spacing w:after="0"/>
              <w:rPr>
                <w:sz w:val="12"/>
                <w:szCs w:val="12"/>
                <w:color w:val="auto"/>
              </w:rPr>
            </w:pPr>
          </w:p>
        </w:tc>
        <w:tc>
          <w:tcPr>
            <w:tcW w:w="240" w:type="dxa"/>
            <w:vAlign w:val="bottom"/>
            <w:tcBorders>
              <w:top w:val="single" w:sz="8" w:color="E6E6E6"/>
              <w:bottom w:val="single" w:sz="8" w:color="2D53A6"/>
              <w:right w:val="single" w:sz="8" w:color="2D53A6"/>
            </w:tcBorders>
            <w:shd w:val="clear" w:color="auto" w:fill="E6E6E6"/>
          </w:tcPr>
          <w:p>
            <w:pPr>
              <w:jc w:val="right"/>
              <w:ind w:right="48"/>
              <w:spacing w:after="0" w:line="139" w:lineRule="exact"/>
              <w:rPr>
                <w:sz w:val="20"/>
                <w:szCs w:val="20"/>
                <w:color w:val="auto"/>
              </w:rPr>
            </w:pPr>
            <w:r>
              <w:rPr>
                <w:rFonts w:ascii="Arial" w:cs="Arial" w:eastAsia="Arial" w:hAnsi="Arial"/>
                <w:sz w:val="14"/>
                <w:szCs w:val="14"/>
                <w:color w:val="auto"/>
              </w:rPr>
              <w:t>0</w:t>
            </w:r>
          </w:p>
        </w:tc>
        <w:tc>
          <w:tcPr>
            <w:tcW w:w="960" w:type="dxa"/>
            <w:vAlign w:val="bottom"/>
            <w:tcBorders>
              <w:top w:val="single" w:sz="8" w:color="E6E6E6"/>
              <w:bottom w:val="single" w:sz="8" w:color="2D53A6"/>
              <w:right w:val="single" w:sz="8" w:color="2D53A6"/>
            </w:tcBorders>
            <w:shd w:val="clear" w:color="auto" w:fill="E6E6E6"/>
          </w:tcPr>
          <w:p>
            <w:pPr>
              <w:jc w:val="right"/>
              <w:ind w:right="30"/>
              <w:spacing w:after="0" w:line="139" w:lineRule="exact"/>
              <w:rPr>
                <w:sz w:val="20"/>
                <w:szCs w:val="20"/>
                <w:color w:val="auto"/>
              </w:rPr>
            </w:pPr>
            <w:r>
              <w:rPr>
                <w:rFonts w:ascii="Arial" w:cs="Arial" w:eastAsia="Arial" w:hAnsi="Arial"/>
                <w:sz w:val="14"/>
                <w:szCs w:val="14"/>
                <w:color w:val="auto"/>
              </w:rPr>
              <w:t>341,250</w:t>
            </w:r>
          </w:p>
        </w:tc>
        <w:tc>
          <w:tcPr>
            <w:tcW w:w="1000" w:type="dxa"/>
            <w:vAlign w:val="bottom"/>
            <w:tcBorders>
              <w:top w:val="single" w:sz="8" w:color="E6E6E6"/>
              <w:bottom w:val="single" w:sz="8" w:color="2D53A6"/>
              <w:right w:val="single" w:sz="8" w:color="2D53A6"/>
            </w:tcBorders>
            <w:shd w:val="clear" w:color="auto" w:fill="E6E6E6"/>
          </w:tcPr>
          <w:p>
            <w:pPr>
              <w:jc w:val="right"/>
              <w:ind w:right="48"/>
              <w:spacing w:after="0" w:line="139" w:lineRule="exact"/>
              <w:rPr>
                <w:sz w:val="20"/>
                <w:szCs w:val="20"/>
                <w:color w:val="auto"/>
              </w:rPr>
            </w:pPr>
            <w:r>
              <w:rPr>
                <w:rFonts w:ascii="Arial" w:cs="Arial" w:eastAsia="Arial" w:hAnsi="Arial"/>
                <w:sz w:val="14"/>
                <w:szCs w:val="14"/>
                <w:color w:val="auto"/>
              </w:rPr>
              <w:t>682,500</w:t>
            </w:r>
          </w:p>
        </w:tc>
        <w:tc>
          <w:tcPr>
            <w:tcW w:w="940" w:type="dxa"/>
            <w:vAlign w:val="bottom"/>
            <w:tcBorders>
              <w:top w:val="single" w:sz="8" w:color="E6E6E6"/>
              <w:bottom w:val="single" w:sz="8" w:color="2D53A6"/>
              <w:right w:val="single" w:sz="8" w:color="2D53A6"/>
            </w:tcBorders>
            <w:shd w:val="clear" w:color="auto" w:fill="E6E6E6"/>
          </w:tcPr>
          <w:p>
            <w:pPr>
              <w:jc w:val="right"/>
              <w:ind w:right="28"/>
              <w:spacing w:after="0" w:line="139"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E6E6E6"/>
              <w:bottom w:val="single" w:sz="8" w:color="2D53A6"/>
              <w:right w:val="single" w:sz="8" w:color="2D53A6"/>
            </w:tcBorders>
            <w:shd w:val="clear" w:color="auto" w:fill="E6E6E6"/>
          </w:tcPr>
          <w:p>
            <w:pPr>
              <w:jc w:val="right"/>
              <w:ind w:right="49"/>
              <w:spacing w:after="0" w:line="139"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E6E6E6"/>
              <w:bottom w:val="single" w:sz="8" w:color="2D53A6"/>
              <w:right w:val="single" w:sz="8" w:color="2D53A6"/>
            </w:tcBorders>
            <w:shd w:val="clear" w:color="auto" w:fill="E6E6E6"/>
          </w:tcPr>
          <w:p>
            <w:pPr>
              <w:jc w:val="right"/>
              <w:ind w:right="28"/>
              <w:spacing w:after="0" w:line="139"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E6E6E6"/>
              <w:bottom w:val="single" w:sz="8" w:color="2D53A6"/>
            </w:tcBorders>
            <w:shd w:val="clear" w:color="auto" w:fill="E6E6E6"/>
          </w:tcPr>
          <w:p>
            <w:pPr>
              <w:spacing w:after="0"/>
              <w:rPr>
                <w:sz w:val="12"/>
                <w:szCs w:val="12"/>
                <w:color w:val="auto"/>
              </w:rPr>
            </w:pPr>
          </w:p>
        </w:tc>
        <w:tc>
          <w:tcPr>
            <w:tcW w:w="880" w:type="dxa"/>
            <w:vAlign w:val="bottom"/>
            <w:tcBorders>
              <w:top w:val="single" w:sz="8" w:color="E6E6E6"/>
              <w:bottom w:val="single" w:sz="8" w:color="2D53A6"/>
              <w:right w:val="single" w:sz="8" w:color="2D53A6"/>
            </w:tcBorders>
            <w:gridSpan w:val="2"/>
            <w:shd w:val="clear" w:color="auto" w:fill="E6E6E6"/>
          </w:tcPr>
          <w:p>
            <w:pPr>
              <w:jc w:val="right"/>
              <w:ind w:right="120"/>
              <w:spacing w:after="0" w:line="139"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E6E6E6"/>
              <w:bottom w:val="single" w:sz="8" w:color="2D53A6"/>
            </w:tcBorders>
            <w:shd w:val="clear" w:color="auto" w:fill="E6E6E6"/>
          </w:tcPr>
          <w:p>
            <w:pPr>
              <w:spacing w:after="0"/>
              <w:rPr>
                <w:sz w:val="12"/>
                <w:szCs w:val="12"/>
                <w:color w:val="auto"/>
              </w:rPr>
            </w:pPr>
          </w:p>
        </w:tc>
        <w:tc>
          <w:tcPr>
            <w:tcW w:w="820" w:type="dxa"/>
            <w:vAlign w:val="bottom"/>
            <w:tcBorders>
              <w:top w:val="single" w:sz="8" w:color="E6E6E6"/>
              <w:bottom w:val="single" w:sz="8" w:color="2D53A6"/>
              <w:right w:val="single" w:sz="8" w:color="2D53A6"/>
            </w:tcBorders>
            <w:shd w:val="clear" w:color="auto" w:fill="E6E6E6"/>
          </w:tcPr>
          <w:p>
            <w:pPr>
              <w:jc w:val="right"/>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840" w:type="dxa"/>
            <w:vAlign w:val="bottom"/>
            <w:tcBorders>
              <w:left w:val="single" w:sz="8" w:color="2D53A6"/>
              <w:bottom w:val="single" w:sz="8" w:color="E6E6E6"/>
              <w:right w:val="single" w:sz="8" w:color="2D53A6"/>
            </w:tcBorders>
            <w:vMerge w:val="continue"/>
            <w:shd w:val="clear" w:color="auto" w:fill="E6E6E6"/>
          </w:tcPr>
          <w:p>
            <w:pPr>
              <w:spacing w:after="0"/>
              <w:rPr>
                <w:sz w:val="13"/>
                <w:szCs w:val="13"/>
                <w:color w:val="auto"/>
              </w:rPr>
            </w:pPr>
          </w:p>
        </w:tc>
        <w:tc>
          <w:tcPr>
            <w:tcW w:w="1440" w:type="dxa"/>
            <w:vAlign w:val="bottom"/>
            <w:tcBorders>
              <w:bottom w:val="single" w:sz="8" w:color="2D53A6"/>
            </w:tcBorders>
            <w:shd w:val="clear" w:color="auto" w:fill="E6E6E6"/>
          </w:tcPr>
          <w:p>
            <w:pPr>
              <w:spacing w:after="0" w:line="155" w:lineRule="exact"/>
              <w:rPr>
                <w:sz w:val="20"/>
                <w:szCs w:val="20"/>
                <w:color w:val="auto"/>
              </w:rPr>
            </w:pPr>
            <w:r>
              <w:rPr>
                <w:rFonts w:ascii="Arial" w:cs="Arial" w:eastAsia="Arial" w:hAnsi="Arial"/>
                <w:sz w:val="14"/>
                <w:szCs w:val="14"/>
                <w:color w:val="auto"/>
              </w:rPr>
              <w:t>Time-based RSUs</w:t>
            </w:r>
          </w:p>
        </w:tc>
        <w:tc>
          <w:tcPr>
            <w:tcW w:w="200" w:type="dxa"/>
            <w:vAlign w:val="bottom"/>
            <w:tcBorders>
              <w:bottom w:val="single" w:sz="8" w:color="2D53A6"/>
              <w:right w:val="single" w:sz="8" w:color="2D53A6"/>
            </w:tcBorders>
            <w:shd w:val="clear" w:color="auto" w:fill="E6E6E6"/>
          </w:tcPr>
          <w:p>
            <w:pPr>
              <w:spacing w:after="0"/>
              <w:rPr>
                <w:sz w:val="13"/>
                <w:szCs w:val="13"/>
                <w:color w:val="auto"/>
              </w:rPr>
            </w:pPr>
          </w:p>
        </w:tc>
        <w:tc>
          <w:tcPr>
            <w:tcW w:w="860" w:type="dxa"/>
            <w:vAlign w:val="bottom"/>
            <w:tcBorders>
              <w:bottom w:val="single" w:sz="8" w:color="2D53A6"/>
              <w:right w:val="single" w:sz="8" w:color="2D53A6"/>
            </w:tcBorders>
            <w:gridSpan w:val="2"/>
            <w:shd w:val="clear" w:color="auto" w:fill="E6E6E6"/>
          </w:tcPr>
          <w:p>
            <w:pPr>
              <w:jc w:val="right"/>
              <w:ind w:right="100"/>
              <w:spacing w:after="0" w:line="155" w:lineRule="exact"/>
              <w:rPr>
                <w:sz w:val="20"/>
                <w:szCs w:val="20"/>
                <w:color w:val="auto"/>
              </w:rPr>
            </w:pPr>
            <w:r>
              <w:rPr>
                <w:rFonts w:ascii="Arial" w:cs="Arial" w:eastAsia="Arial" w:hAnsi="Arial"/>
                <w:sz w:val="14"/>
                <w:szCs w:val="14"/>
                <w:color w:val="auto"/>
              </w:rPr>
              <w:t>3/12/2024</w:t>
            </w:r>
          </w:p>
        </w:tc>
        <w:tc>
          <w:tcPr>
            <w:tcW w:w="120" w:type="dxa"/>
            <w:vAlign w:val="bottom"/>
            <w:tcBorders>
              <w:bottom w:val="single" w:sz="8" w:color="2D53A6"/>
            </w:tcBorders>
            <w:shd w:val="clear" w:color="auto" w:fill="E6E6E6"/>
          </w:tcPr>
          <w:p>
            <w:pPr>
              <w:spacing w:after="0"/>
              <w:rPr>
                <w:sz w:val="13"/>
                <w:szCs w:val="13"/>
                <w:color w:val="auto"/>
              </w:rPr>
            </w:pPr>
          </w:p>
        </w:tc>
        <w:tc>
          <w:tcPr>
            <w:tcW w:w="600" w:type="dxa"/>
            <w:vAlign w:val="bottom"/>
            <w:tcBorders>
              <w:bottom w:val="single" w:sz="8" w:color="2D53A6"/>
            </w:tcBorders>
            <w:shd w:val="clear" w:color="auto" w:fill="E6E6E6"/>
          </w:tcPr>
          <w:p>
            <w:pPr>
              <w:spacing w:after="0"/>
              <w:rPr>
                <w:sz w:val="13"/>
                <w:szCs w:val="13"/>
                <w:color w:val="auto"/>
              </w:rPr>
            </w:pPr>
          </w:p>
        </w:tc>
        <w:tc>
          <w:tcPr>
            <w:tcW w:w="240" w:type="dxa"/>
            <w:vAlign w:val="bottom"/>
            <w:tcBorders>
              <w:bottom w:val="single" w:sz="8" w:color="2D53A6"/>
              <w:right w:val="single" w:sz="8" w:color="2D53A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2D53A6"/>
              <w:right w:val="single" w:sz="8" w:color="2D53A6"/>
            </w:tcBorders>
            <w:shd w:val="clear" w:color="auto" w:fill="E6E6E6"/>
          </w:tcPr>
          <w:p>
            <w:pPr>
              <w:jc w:val="right"/>
              <w:ind w:right="30"/>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2D53A6"/>
              <w:right w:val="single" w:sz="8" w:color="2D53A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2D53A6"/>
              <w:right w:val="single" w:sz="8" w:color="2D53A6"/>
            </w:tcBorders>
            <w:shd w:val="clear" w:color="auto" w:fill="E6E6E6"/>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2D53A6"/>
            </w:tcBorders>
            <w:shd w:val="clear" w:color="auto" w:fill="E6E6E6"/>
          </w:tcPr>
          <w:p>
            <w:pPr>
              <w:spacing w:after="0"/>
              <w:rPr>
                <w:sz w:val="13"/>
                <w:szCs w:val="13"/>
                <w:color w:val="auto"/>
              </w:rPr>
            </w:pPr>
          </w:p>
        </w:tc>
        <w:tc>
          <w:tcPr>
            <w:tcW w:w="880" w:type="dxa"/>
            <w:vAlign w:val="bottom"/>
            <w:tcBorders>
              <w:bottom w:val="single" w:sz="8" w:color="2D53A6"/>
              <w:right w:val="single" w:sz="8" w:color="2D53A6"/>
            </w:tcBorders>
            <w:gridSpan w:val="2"/>
            <w:shd w:val="clear" w:color="auto" w:fill="E6E6E6"/>
          </w:tcPr>
          <w:p>
            <w:pPr>
              <w:jc w:val="right"/>
              <w:ind w:right="120"/>
              <w:spacing w:after="0" w:line="155" w:lineRule="exact"/>
              <w:rPr>
                <w:sz w:val="20"/>
                <w:szCs w:val="20"/>
                <w:color w:val="auto"/>
              </w:rPr>
            </w:pPr>
            <w:r>
              <w:rPr>
                <w:rFonts w:ascii="Arial" w:cs="Arial" w:eastAsia="Arial" w:hAnsi="Arial"/>
                <w:sz w:val="14"/>
                <w:szCs w:val="14"/>
                <w:color w:val="auto"/>
              </w:rPr>
              <w:t>16,316</w:t>
            </w:r>
          </w:p>
        </w:tc>
        <w:tc>
          <w:tcPr>
            <w:tcW w:w="180" w:type="dxa"/>
            <w:vAlign w:val="bottom"/>
            <w:tcBorders>
              <w:bottom w:val="single" w:sz="8" w:color="2D53A6"/>
            </w:tcBorders>
            <w:shd w:val="clear" w:color="auto" w:fill="E6E6E6"/>
          </w:tcPr>
          <w:p>
            <w:pPr>
              <w:spacing w:after="0"/>
              <w:rPr>
                <w:sz w:val="13"/>
                <w:szCs w:val="13"/>
                <w:color w:val="auto"/>
              </w:rPr>
            </w:pPr>
          </w:p>
        </w:tc>
        <w:tc>
          <w:tcPr>
            <w:tcW w:w="820" w:type="dxa"/>
            <w:vAlign w:val="bottom"/>
            <w:tcBorders>
              <w:bottom w:val="single" w:sz="8" w:color="2D53A6"/>
              <w:right w:val="single" w:sz="8" w:color="2D53A6"/>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519,175</w:t>
            </w:r>
          </w:p>
        </w:tc>
        <w:tc>
          <w:tcPr>
            <w:tcW w:w="0" w:type="dxa"/>
            <w:vAlign w:val="bottom"/>
          </w:tcPr>
          <w:p>
            <w:pPr>
              <w:spacing w:after="0"/>
              <w:rPr>
                <w:sz w:val="1"/>
                <w:szCs w:val="1"/>
                <w:color w:val="auto"/>
              </w:rPr>
            </w:pPr>
          </w:p>
        </w:tc>
      </w:tr>
      <w:tr>
        <w:trPr>
          <w:trHeight w:val="146"/>
        </w:trPr>
        <w:tc>
          <w:tcPr>
            <w:tcW w:w="840" w:type="dxa"/>
            <w:vAlign w:val="bottom"/>
            <w:tcBorders>
              <w:left w:val="single" w:sz="8" w:color="2D53A6"/>
              <w:right w:val="single" w:sz="8" w:color="2D53A6"/>
            </w:tcBorders>
            <w:shd w:val="clear" w:color="auto" w:fill="E6E6E6"/>
          </w:tcPr>
          <w:p>
            <w:pPr>
              <w:ind w:left="20"/>
              <w:spacing w:after="0" w:line="147" w:lineRule="exact"/>
              <w:rPr>
                <w:sz w:val="20"/>
                <w:szCs w:val="20"/>
                <w:color w:val="auto"/>
              </w:rPr>
            </w:pPr>
            <w:r>
              <w:rPr>
                <w:rFonts w:ascii="Arial" w:cs="Arial" w:eastAsia="Arial" w:hAnsi="Arial"/>
                <w:sz w:val="14"/>
                <w:szCs w:val="14"/>
                <w:color w:val="auto"/>
              </w:rPr>
              <w:t>Jones</w:t>
            </w:r>
          </w:p>
        </w:tc>
        <w:tc>
          <w:tcPr>
            <w:tcW w:w="1440" w:type="dxa"/>
            <w:vAlign w:val="bottom"/>
            <w:shd w:val="clear" w:color="auto" w:fill="E6E6E6"/>
          </w:tcPr>
          <w:p>
            <w:pPr>
              <w:spacing w:after="0" w:line="147" w:lineRule="exact"/>
              <w:rPr>
                <w:sz w:val="20"/>
                <w:szCs w:val="20"/>
                <w:color w:val="auto"/>
              </w:rPr>
            </w:pPr>
            <w:r>
              <w:rPr>
                <w:rFonts w:ascii="Arial" w:cs="Arial" w:eastAsia="Arial" w:hAnsi="Arial"/>
                <w:sz w:val="14"/>
                <w:szCs w:val="14"/>
                <w:color w:val="auto"/>
              </w:rPr>
              <w:t>Performance-based</w:t>
            </w:r>
          </w:p>
        </w:tc>
        <w:tc>
          <w:tcPr>
            <w:tcW w:w="200" w:type="dxa"/>
            <w:vAlign w:val="bottom"/>
            <w:tcBorders>
              <w:right w:val="single" w:sz="8" w:color="2D53A6"/>
            </w:tcBorders>
            <w:shd w:val="clear" w:color="auto" w:fill="E6E6E6"/>
          </w:tcPr>
          <w:p>
            <w:pPr>
              <w:spacing w:after="0"/>
              <w:rPr>
                <w:sz w:val="12"/>
                <w:szCs w:val="12"/>
                <w:color w:val="auto"/>
              </w:rPr>
            </w:pPr>
          </w:p>
        </w:tc>
        <w:tc>
          <w:tcPr>
            <w:tcW w:w="760" w:type="dxa"/>
            <w:vAlign w:val="bottom"/>
            <w:shd w:val="clear" w:color="auto" w:fill="E6E6E6"/>
          </w:tcPr>
          <w:p>
            <w:pPr>
              <w:spacing w:after="0"/>
              <w:rPr>
                <w:sz w:val="12"/>
                <w:szCs w:val="12"/>
                <w:color w:val="auto"/>
              </w:rPr>
            </w:pPr>
          </w:p>
        </w:tc>
        <w:tc>
          <w:tcPr>
            <w:tcW w:w="100" w:type="dxa"/>
            <w:vAlign w:val="bottom"/>
            <w:tcBorders>
              <w:right w:val="single" w:sz="8" w:color="2D53A6"/>
            </w:tcBorders>
            <w:shd w:val="clear" w:color="auto" w:fill="E6E6E6"/>
          </w:tcPr>
          <w:p>
            <w:pPr>
              <w:spacing w:after="0"/>
              <w:rPr>
                <w:sz w:val="12"/>
                <w:szCs w:val="12"/>
                <w:color w:val="auto"/>
              </w:rPr>
            </w:pPr>
          </w:p>
        </w:tc>
        <w:tc>
          <w:tcPr>
            <w:tcW w:w="120" w:type="dxa"/>
            <w:vAlign w:val="bottom"/>
            <w:shd w:val="clear" w:color="auto" w:fill="E6E6E6"/>
          </w:tcPr>
          <w:p>
            <w:pPr>
              <w:spacing w:after="0"/>
              <w:rPr>
                <w:sz w:val="12"/>
                <w:szCs w:val="12"/>
                <w:color w:val="auto"/>
              </w:rPr>
            </w:pPr>
          </w:p>
        </w:tc>
        <w:tc>
          <w:tcPr>
            <w:tcW w:w="600" w:type="dxa"/>
            <w:vAlign w:val="bottom"/>
            <w:shd w:val="clear" w:color="auto" w:fill="E6E6E6"/>
          </w:tcPr>
          <w:p>
            <w:pPr>
              <w:spacing w:after="0"/>
              <w:rPr>
                <w:sz w:val="12"/>
                <w:szCs w:val="12"/>
                <w:color w:val="auto"/>
              </w:rPr>
            </w:pPr>
          </w:p>
        </w:tc>
        <w:tc>
          <w:tcPr>
            <w:tcW w:w="240" w:type="dxa"/>
            <w:vAlign w:val="bottom"/>
            <w:tcBorders>
              <w:right w:val="single" w:sz="8" w:color="2D53A6"/>
            </w:tcBorders>
            <w:shd w:val="clear" w:color="auto" w:fill="E6E6E6"/>
          </w:tcPr>
          <w:p>
            <w:pPr>
              <w:spacing w:after="0"/>
              <w:rPr>
                <w:sz w:val="12"/>
                <w:szCs w:val="12"/>
                <w:color w:val="auto"/>
              </w:rPr>
            </w:pPr>
          </w:p>
        </w:tc>
        <w:tc>
          <w:tcPr>
            <w:tcW w:w="960" w:type="dxa"/>
            <w:vAlign w:val="bottom"/>
            <w:tcBorders>
              <w:right w:val="single" w:sz="8" w:color="2D53A6"/>
            </w:tcBorders>
            <w:shd w:val="clear" w:color="auto" w:fill="E6E6E6"/>
          </w:tcPr>
          <w:p>
            <w:pPr>
              <w:spacing w:after="0"/>
              <w:rPr>
                <w:sz w:val="12"/>
                <w:szCs w:val="12"/>
                <w:color w:val="auto"/>
              </w:rPr>
            </w:pPr>
          </w:p>
        </w:tc>
        <w:tc>
          <w:tcPr>
            <w:tcW w:w="1000" w:type="dxa"/>
            <w:vAlign w:val="bottom"/>
            <w:tcBorders>
              <w:right w:val="single" w:sz="8" w:color="2D53A6"/>
            </w:tcBorders>
            <w:shd w:val="clear" w:color="auto" w:fill="E6E6E6"/>
          </w:tcPr>
          <w:p>
            <w:pPr>
              <w:spacing w:after="0"/>
              <w:rPr>
                <w:sz w:val="12"/>
                <w:szCs w:val="12"/>
                <w:color w:val="auto"/>
              </w:rPr>
            </w:pPr>
          </w:p>
        </w:tc>
        <w:tc>
          <w:tcPr>
            <w:tcW w:w="940" w:type="dxa"/>
            <w:vAlign w:val="bottom"/>
            <w:tcBorders>
              <w:right w:val="single" w:sz="8" w:color="2D53A6"/>
            </w:tcBorders>
            <w:shd w:val="clear" w:color="auto" w:fill="E6E6E6"/>
          </w:tcPr>
          <w:p>
            <w:pPr>
              <w:spacing w:after="0"/>
              <w:rPr>
                <w:sz w:val="12"/>
                <w:szCs w:val="12"/>
                <w:color w:val="auto"/>
              </w:rPr>
            </w:pPr>
          </w:p>
        </w:tc>
        <w:tc>
          <w:tcPr>
            <w:tcW w:w="980" w:type="dxa"/>
            <w:vAlign w:val="bottom"/>
            <w:tcBorders>
              <w:right w:val="single" w:sz="8" w:color="2D53A6"/>
            </w:tcBorders>
            <w:shd w:val="clear" w:color="auto" w:fill="E6E6E6"/>
          </w:tcPr>
          <w:p>
            <w:pPr>
              <w:spacing w:after="0"/>
              <w:rPr>
                <w:sz w:val="12"/>
                <w:szCs w:val="12"/>
                <w:color w:val="auto"/>
              </w:rPr>
            </w:pPr>
          </w:p>
        </w:tc>
        <w:tc>
          <w:tcPr>
            <w:tcW w:w="980" w:type="dxa"/>
            <w:vAlign w:val="bottom"/>
            <w:tcBorders>
              <w:right w:val="single" w:sz="8" w:color="2D53A6"/>
            </w:tcBorders>
            <w:shd w:val="clear" w:color="auto" w:fill="E6E6E6"/>
          </w:tcPr>
          <w:p>
            <w:pPr>
              <w:spacing w:after="0"/>
              <w:rPr>
                <w:sz w:val="12"/>
                <w:szCs w:val="12"/>
                <w:color w:val="auto"/>
              </w:rPr>
            </w:pPr>
          </w:p>
        </w:tc>
        <w:tc>
          <w:tcPr>
            <w:tcW w:w="200" w:type="dxa"/>
            <w:vAlign w:val="bottom"/>
            <w:shd w:val="clear" w:color="auto" w:fill="E6E6E6"/>
          </w:tcPr>
          <w:p>
            <w:pPr>
              <w:spacing w:after="0"/>
              <w:rPr>
                <w:sz w:val="12"/>
                <w:szCs w:val="12"/>
                <w:color w:val="auto"/>
              </w:rPr>
            </w:pPr>
          </w:p>
        </w:tc>
        <w:tc>
          <w:tcPr>
            <w:tcW w:w="760" w:type="dxa"/>
            <w:vAlign w:val="bottom"/>
            <w:shd w:val="clear" w:color="auto" w:fill="E6E6E6"/>
          </w:tcPr>
          <w:p>
            <w:pPr>
              <w:spacing w:after="0"/>
              <w:rPr>
                <w:sz w:val="12"/>
                <w:szCs w:val="12"/>
                <w:color w:val="auto"/>
              </w:rPr>
            </w:pPr>
          </w:p>
        </w:tc>
        <w:tc>
          <w:tcPr>
            <w:tcW w:w="120" w:type="dxa"/>
            <w:vAlign w:val="bottom"/>
            <w:tcBorders>
              <w:right w:val="single" w:sz="8" w:color="2D53A6"/>
            </w:tcBorders>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820" w:type="dxa"/>
            <w:vAlign w:val="bottom"/>
            <w:tcBorders>
              <w:right w:val="single" w:sz="8" w:color="2D53A6"/>
            </w:tcBorders>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40" w:type="dxa"/>
            <w:vAlign w:val="bottom"/>
            <w:tcBorders>
              <w:left w:val="single" w:sz="8" w:color="2D53A6"/>
              <w:bottom w:val="single" w:sz="8" w:color="2D53A6"/>
              <w:right w:val="single" w:sz="8" w:color="2D53A6"/>
            </w:tcBorders>
            <w:shd w:val="clear" w:color="auto" w:fill="E6E6E6"/>
          </w:tcPr>
          <w:p>
            <w:pPr>
              <w:spacing w:after="0"/>
              <w:rPr>
                <w:sz w:val="16"/>
                <w:szCs w:val="16"/>
                <w:color w:val="auto"/>
              </w:rPr>
            </w:pPr>
          </w:p>
        </w:tc>
        <w:tc>
          <w:tcPr>
            <w:tcW w:w="1440" w:type="dxa"/>
            <w:vAlign w:val="bottom"/>
            <w:tcBorders>
              <w:bottom w:val="single" w:sz="8" w:color="2D53A6"/>
            </w:tcBorders>
            <w:shd w:val="clear" w:color="auto" w:fill="E6E6E6"/>
          </w:tcPr>
          <w:p>
            <w:pPr>
              <w:spacing w:after="0"/>
              <w:rPr>
                <w:sz w:val="20"/>
                <w:szCs w:val="20"/>
                <w:color w:val="auto"/>
              </w:rPr>
            </w:pPr>
            <w:r>
              <w:rPr>
                <w:rFonts w:ascii="Arial" w:cs="Arial" w:eastAsia="Arial" w:hAnsi="Arial"/>
                <w:sz w:val="14"/>
                <w:szCs w:val="14"/>
                <w:color w:val="auto"/>
              </w:rPr>
              <w:t>RSUs</w:t>
            </w:r>
          </w:p>
        </w:tc>
        <w:tc>
          <w:tcPr>
            <w:tcW w:w="200" w:type="dxa"/>
            <w:vAlign w:val="bottom"/>
            <w:tcBorders>
              <w:bottom w:val="single" w:sz="8" w:color="2D53A6"/>
              <w:right w:val="single" w:sz="8" w:color="2D53A6"/>
            </w:tcBorders>
            <w:shd w:val="clear" w:color="auto" w:fill="E6E6E6"/>
          </w:tcPr>
          <w:p>
            <w:pPr>
              <w:spacing w:after="0"/>
              <w:rPr>
                <w:sz w:val="16"/>
                <w:szCs w:val="16"/>
                <w:color w:val="auto"/>
              </w:rPr>
            </w:pPr>
          </w:p>
        </w:tc>
        <w:tc>
          <w:tcPr>
            <w:tcW w:w="860" w:type="dxa"/>
            <w:vAlign w:val="bottom"/>
            <w:tcBorders>
              <w:bottom w:val="single" w:sz="8" w:color="2D53A6"/>
              <w:right w:val="single" w:sz="8" w:color="2D53A6"/>
            </w:tcBorders>
            <w:gridSpan w:val="2"/>
            <w:shd w:val="clear" w:color="auto" w:fill="E6E6E6"/>
          </w:tcPr>
          <w:p>
            <w:pPr>
              <w:jc w:val="right"/>
              <w:ind w:right="100"/>
              <w:spacing w:after="0"/>
              <w:rPr>
                <w:sz w:val="20"/>
                <w:szCs w:val="20"/>
                <w:color w:val="auto"/>
              </w:rPr>
            </w:pPr>
            <w:r>
              <w:rPr>
                <w:rFonts w:ascii="Arial" w:cs="Arial" w:eastAsia="Arial" w:hAnsi="Arial"/>
                <w:sz w:val="14"/>
                <w:szCs w:val="14"/>
                <w:color w:val="auto"/>
              </w:rPr>
              <w:t>3/12/2024</w:t>
            </w:r>
          </w:p>
        </w:tc>
        <w:tc>
          <w:tcPr>
            <w:tcW w:w="120" w:type="dxa"/>
            <w:vAlign w:val="bottom"/>
            <w:tcBorders>
              <w:bottom w:val="single" w:sz="8" w:color="2D53A6"/>
            </w:tcBorders>
            <w:shd w:val="clear" w:color="auto" w:fill="E6E6E6"/>
          </w:tcPr>
          <w:p>
            <w:pPr>
              <w:spacing w:after="0"/>
              <w:rPr>
                <w:sz w:val="16"/>
                <w:szCs w:val="16"/>
                <w:color w:val="auto"/>
              </w:rPr>
            </w:pPr>
          </w:p>
        </w:tc>
        <w:tc>
          <w:tcPr>
            <w:tcW w:w="600" w:type="dxa"/>
            <w:vAlign w:val="bottom"/>
            <w:tcBorders>
              <w:bottom w:val="single" w:sz="8" w:color="2D53A6"/>
            </w:tcBorders>
            <w:shd w:val="clear" w:color="auto" w:fill="E6E6E6"/>
          </w:tcPr>
          <w:p>
            <w:pPr>
              <w:spacing w:after="0"/>
              <w:rPr>
                <w:sz w:val="16"/>
                <w:szCs w:val="16"/>
                <w:color w:val="auto"/>
              </w:rPr>
            </w:pPr>
          </w:p>
        </w:tc>
        <w:tc>
          <w:tcPr>
            <w:tcW w:w="240" w:type="dxa"/>
            <w:vAlign w:val="bottom"/>
            <w:tcBorders>
              <w:bottom w:val="single" w:sz="8" w:color="2D53A6"/>
              <w:right w:val="single" w:sz="8" w:color="2D53A6"/>
            </w:tcBorders>
            <w:shd w:val="clear" w:color="auto" w:fill="E6E6E6"/>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2D53A6"/>
              <w:right w:val="single" w:sz="8" w:color="2D53A6"/>
            </w:tcBorders>
            <w:shd w:val="clear" w:color="auto" w:fill="E6E6E6"/>
          </w:tcPr>
          <w:p>
            <w:pPr>
              <w:jc w:val="right"/>
              <w:ind w:right="3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D53A6"/>
              <w:right w:val="single" w:sz="8" w:color="2D53A6"/>
            </w:tcBorders>
            <w:shd w:val="clear" w:color="auto" w:fill="E6E6E6"/>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2D53A6"/>
              <w:right w:val="single" w:sz="8" w:color="2D53A6"/>
            </w:tcBorders>
            <w:shd w:val="clear" w:color="auto" w:fill="E6E6E6"/>
          </w:tcPr>
          <w:p>
            <w:pPr>
              <w:jc w:val="right"/>
              <w:ind w:right="28"/>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2D53A6"/>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24,474</w:t>
            </w:r>
          </w:p>
        </w:tc>
        <w:tc>
          <w:tcPr>
            <w:tcW w:w="980" w:type="dxa"/>
            <w:vAlign w:val="bottom"/>
            <w:tcBorders>
              <w:bottom w:val="single" w:sz="8" w:color="2D53A6"/>
              <w:right w:val="single" w:sz="8" w:color="2D53A6"/>
            </w:tcBorders>
            <w:shd w:val="clear" w:color="auto" w:fill="E6E6E6"/>
          </w:tcPr>
          <w:p>
            <w:pPr>
              <w:jc w:val="right"/>
              <w:ind w:right="28"/>
              <w:spacing w:after="0"/>
              <w:rPr>
                <w:sz w:val="20"/>
                <w:szCs w:val="20"/>
                <w:color w:val="auto"/>
              </w:rPr>
            </w:pPr>
            <w:r>
              <w:rPr>
                <w:rFonts w:ascii="Arial" w:cs="Arial" w:eastAsia="Arial" w:hAnsi="Arial"/>
                <w:sz w:val="14"/>
                <w:szCs w:val="14"/>
                <w:color w:val="auto"/>
              </w:rPr>
              <w:t>48,948</w:t>
            </w:r>
          </w:p>
        </w:tc>
        <w:tc>
          <w:tcPr>
            <w:tcW w:w="200" w:type="dxa"/>
            <w:vAlign w:val="bottom"/>
            <w:tcBorders>
              <w:bottom w:val="single" w:sz="8" w:color="2D53A6"/>
            </w:tcBorders>
            <w:shd w:val="clear" w:color="auto" w:fill="E6E6E6"/>
          </w:tcPr>
          <w:p>
            <w:pPr>
              <w:spacing w:after="0"/>
              <w:rPr>
                <w:sz w:val="16"/>
                <w:szCs w:val="16"/>
                <w:color w:val="auto"/>
              </w:rPr>
            </w:pPr>
          </w:p>
        </w:tc>
        <w:tc>
          <w:tcPr>
            <w:tcW w:w="880" w:type="dxa"/>
            <w:vAlign w:val="bottom"/>
            <w:tcBorders>
              <w:bottom w:val="single" w:sz="8" w:color="2D53A6"/>
              <w:right w:val="single" w:sz="8" w:color="2D53A6"/>
            </w:tcBorders>
            <w:gridSpan w:val="2"/>
            <w:shd w:val="clear" w:color="auto" w:fill="E6E6E6"/>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2D53A6"/>
            </w:tcBorders>
            <w:shd w:val="clear" w:color="auto" w:fill="E6E6E6"/>
          </w:tcPr>
          <w:p>
            <w:pPr>
              <w:spacing w:after="0"/>
              <w:rPr>
                <w:sz w:val="16"/>
                <w:szCs w:val="16"/>
                <w:color w:val="auto"/>
              </w:rPr>
            </w:pPr>
          </w:p>
        </w:tc>
        <w:tc>
          <w:tcPr>
            <w:tcW w:w="8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831,137</w:t>
            </w:r>
          </w:p>
        </w:tc>
        <w:tc>
          <w:tcPr>
            <w:tcW w:w="0" w:type="dxa"/>
            <w:vAlign w:val="bottom"/>
          </w:tcPr>
          <w:p>
            <w:pPr>
              <w:spacing w:after="0"/>
              <w:rPr>
                <w:sz w:val="1"/>
                <w:szCs w:val="1"/>
                <w:color w:val="auto"/>
              </w:rPr>
            </w:pPr>
          </w:p>
        </w:tc>
      </w:tr>
      <w:tr>
        <w:trPr>
          <w:trHeight w:val="139"/>
        </w:trPr>
        <w:tc>
          <w:tcPr>
            <w:tcW w:w="840" w:type="dxa"/>
            <w:vAlign w:val="bottom"/>
            <w:tcBorders>
              <w:right w:val="single" w:sz="8" w:color="2D53A6"/>
            </w:tcBorders>
            <w:vMerge w:val="restart"/>
          </w:tcPr>
          <w:p>
            <w:pPr>
              <w:ind w:left="20"/>
              <w:spacing w:after="0"/>
              <w:rPr>
                <w:sz w:val="20"/>
                <w:szCs w:val="20"/>
                <w:color w:val="auto"/>
              </w:rPr>
            </w:pPr>
            <w:r>
              <w:rPr>
                <w:rFonts w:ascii="Arial" w:cs="Arial" w:eastAsia="Arial" w:hAnsi="Arial"/>
                <w:sz w:val="14"/>
                <w:szCs w:val="14"/>
                <w:color w:val="auto"/>
              </w:rPr>
              <w:t>Christopher</w:t>
            </w:r>
          </w:p>
        </w:tc>
        <w:tc>
          <w:tcPr>
            <w:tcW w:w="1440" w:type="dxa"/>
            <w:vAlign w:val="bottom"/>
            <w:tcBorders>
              <w:bottom w:val="single" w:sz="8" w:color="2D53A6"/>
            </w:tcBorders>
          </w:tcPr>
          <w:p>
            <w:pPr>
              <w:spacing w:after="0" w:line="139" w:lineRule="exact"/>
              <w:rPr>
                <w:sz w:val="20"/>
                <w:szCs w:val="20"/>
                <w:color w:val="auto"/>
              </w:rPr>
            </w:pPr>
            <w:r>
              <w:rPr>
                <w:rFonts w:ascii="Arial" w:cs="Arial" w:eastAsia="Arial" w:hAnsi="Arial"/>
                <w:sz w:val="14"/>
                <w:szCs w:val="14"/>
                <w:color w:val="auto"/>
              </w:rPr>
              <w:t>Cash Incentives</w:t>
            </w:r>
          </w:p>
        </w:tc>
        <w:tc>
          <w:tcPr>
            <w:tcW w:w="200" w:type="dxa"/>
            <w:vAlign w:val="bottom"/>
            <w:tcBorders>
              <w:bottom w:val="single" w:sz="8" w:color="2D53A6"/>
              <w:right w:val="single" w:sz="8" w:color="2D53A6"/>
            </w:tcBorders>
          </w:tcPr>
          <w:p>
            <w:pPr>
              <w:spacing w:after="0"/>
              <w:rPr>
                <w:sz w:val="12"/>
                <w:szCs w:val="12"/>
                <w:color w:val="auto"/>
              </w:rPr>
            </w:pPr>
          </w:p>
        </w:tc>
        <w:tc>
          <w:tcPr>
            <w:tcW w:w="860" w:type="dxa"/>
            <w:vAlign w:val="bottom"/>
            <w:tcBorders>
              <w:bottom w:val="single" w:sz="8" w:color="2D53A6"/>
              <w:right w:val="single" w:sz="8" w:color="2D53A6"/>
            </w:tcBorders>
            <w:gridSpan w:val="2"/>
          </w:tcPr>
          <w:p>
            <w:pPr>
              <w:jc w:val="right"/>
              <w:ind w:right="100"/>
              <w:spacing w:after="0" w:line="13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2D53A6"/>
            </w:tcBorders>
          </w:tcPr>
          <w:p>
            <w:pPr>
              <w:spacing w:after="0"/>
              <w:rPr>
                <w:sz w:val="12"/>
                <w:szCs w:val="12"/>
                <w:color w:val="auto"/>
              </w:rPr>
            </w:pPr>
          </w:p>
        </w:tc>
        <w:tc>
          <w:tcPr>
            <w:tcW w:w="600" w:type="dxa"/>
            <w:vAlign w:val="bottom"/>
            <w:tcBorders>
              <w:bottom w:val="single" w:sz="8" w:color="2D53A6"/>
            </w:tcBorders>
          </w:tcPr>
          <w:p>
            <w:pPr>
              <w:spacing w:after="0"/>
              <w:rPr>
                <w:sz w:val="12"/>
                <w:szCs w:val="12"/>
                <w:color w:val="auto"/>
              </w:rPr>
            </w:pPr>
          </w:p>
        </w:tc>
        <w:tc>
          <w:tcPr>
            <w:tcW w:w="240" w:type="dxa"/>
            <w:vAlign w:val="bottom"/>
            <w:tcBorders>
              <w:bottom w:val="single" w:sz="8" w:color="2D53A6"/>
              <w:right w:val="single" w:sz="8" w:color="2D53A6"/>
            </w:tcBorders>
          </w:tcPr>
          <w:p>
            <w:pPr>
              <w:jc w:val="right"/>
              <w:ind w:right="48"/>
              <w:spacing w:after="0" w:line="139" w:lineRule="exact"/>
              <w:rPr>
                <w:sz w:val="20"/>
                <w:szCs w:val="20"/>
                <w:color w:val="auto"/>
              </w:rPr>
            </w:pPr>
            <w:r>
              <w:rPr>
                <w:rFonts w:ascii="Arial" w:cs="Arial" w:eastAsia="Arial" w:hAnsi="Arial"/>
                <w:sz w:val="14"/>
                <w:szCs w:val="14"/>
                <w:color w:val="auto"/>
              </w:rPr>
              <w:t>0</w:t>
            </w:r>
          </w:p>
        </w:tc>
        <w:tc>
          <w:tcPr>
            <w:tcW w:w="960" w:type="dxa"/>
            <w:vAlign w:val="bottom"/>
            <w:tcBorders>
              <w:bottom w:val="single" w:sz="8" w:color="2D53A6"/>
              <w:right w:val="single" w:sz="8" w:color="2D53A6"/>
            </w:tcBorders>
          </w:tcPr>
          <w:p>
            <w:pPr>
              <w:jc w:val="right"/>
              <w:ind w:right="30"/>
              <w:spacing w:after="0" w:line="139" w:lineRule="exact"/>
              <w:rPr>
                <w:sz w:val="20"/>
                <w:szCs w:val="20"/>
                <w:color w:val="auto"/>
              </w:rPr>
            </w:pPr>
            <w:r>
              <w:rPr>
                <w:rFonts w:ascii="Arial" w:cs="Arial" w:eastAsia="Arial" w:hAnsi="Arial"/>
                <w:sz w:val="14"/>
                <w:szCs w:val="14"/>
                <w:color w:val="auto"/>
              </w:rPr>
              <w:t>318,750</w:t>
            </w:r>
          </w:p>
        </w:tc>
        <w:tc>
          <w:tcPr>
            <w:tcW w:w="1000" w:type="dxa"/>
            <w:vAlign w:val="bottom"/>
            <w:tcBorders>
              <w:bottom w:val="single" w:sz="8" w:color="2D53A6"/>
              <w:right w:val="single" w:sz="8" w:color="2D53A6"/>
            </w:tcBorders>
          </w:tcPr>
          <w:p>
            <w:pPr>
              <w:jc w:val="right"/>
              <w:ind w:right="48"/>
              <w:spacing w:after="0" w:line="139" w:lineRule="exact"/>
              <w:rPr>
                <w:sz w:val="20"/>
                <w:szCs w:val="20"/>
                <w:color w:val="auto"/>
              </w:rPr>
            </w:pPr>
            <w:r>
              <w:rPr>
                <w:rFonts w:ascii="Arial" w:cs="Arial" w:eastAsia="Arial" w:hAnsi="Arial"/>
                <w:sz w:val="14"/>
                <w:szCs w:val="14"/>
                <w:color w:val="auto"/>
              </w:rPr>
              <w:t>637,500</w:t>
            </w:r>
          </w:p>
        </w:tc>
        <w:tc>
          <w:tcPr>
            <w:tcW w:w="940" w:type="dxa"/>
            <w:vAlign w:val="bottom"/>
            <w:tcBorders>
              <w:bottom w:val="single" w:sz="8" w:color="2D53A6"/>
              <w:right w:val="single" w:sz="8" w:color="2D53A6"/>
            </w:tcBorders>
          </w:tcPr>
          <w:p>
            <w:pPr>
              <w:jc w:val="right"/>
              <w:ind w:right="28"/>
              <w:spacing w:after="0" w:line="13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2D53A6"/>
              <w:right w:val="single" w:sz="8" w:color="2D53A6"/>
            </w:tcBorders>
          </w:tcPr>
          <w:p>
            <w:pPr>
              <w:jc w:val="right"/>
              <w:ind w:right="49"/>
              <w:spacing w:after="0" w:line="13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2D53A6"/>
              <w:right w:val="single" w:sz="8" w:color="2D53A6"/>
            </w:tcBorders>
          </w:tcPr>
          <w:p>
            <w:pPr>
              <w:jc w:val="right"/>
              <w:ind w:right="28"/>
              <w:spacing w:after="0" w:line="13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2D53A6"/>
            </w:tcBorders>
          </w:tcPr>
          <w:p>
            <w:pPr>
              <w:spacing w:after="0"/>
              <w:rPr>
                <w:sz w:val="12"/>
                <w:szCs w:val="12"/>
                <w:color w:val="auto"/>
              </w:rPr>
            </w:pPr>
          </w:p>
        </w:tc>
        <w:tc>
          <w:tcPr>
            <w:tcW w:w="880" w:type="dxa"/>
            <w:vAlign w:val="bottom"/>
            <w:tcBorders>
              <w:bottom w:val="single" w:sz="8" w:color="2D53A6"/>
              <w:right w:val="single" w:sz="8" w:color="2D53A6"/>
            </w:tcBorders>
            <w:gridSpan w:val="2"/>
          </w:tcPr>
          <w:p>
            <w:pPr>
              <w:jc w:val="right"/>
              <w:ind w:right="120"/>
              <w:spacing w:after="0" w:line="13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2D53A6"/>
            </w:tcBorders>
          </w:tcPr>
          <w:p>
            <w:pPr>
              <w:spacing w:after="0"/>
              <w:rPr>
                <w:sz w:val="12"/>
                <w:szCs w:val="12"/>
                <w:color w:val="auto"/>
              </w:rPr>
            </w:pPr>
          </w:p>
        </w:tc>
        <w:tc>
          <w:tcPr>
            <w:tcW w:w="820" w:type="dxa"/>
            <w:vAlign w:val="bottom"/>
            <w:tcBorders>
              <w:bottom w:val="single" w:sz="8" w:color="2D53A6"/>
              <w:right w:val="single" w:sz="8" w:color="2D53A6"/>
            </w:tcBorders>
          </w:tcPr>
          <w:p>
            <w:pPr>
              <w:jc w:val="right"/>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840" w:type="dxa"/>
            <w:vAlign w:val="bottom"/>
            <w:tcBorders>
              <w:right w:val="single" w:sz="8" w:color="2D53A6"/>
            </w:tcBorders>
            <w:vMerge w:val="continue"/>
          </w:tcPr>
          <w:p>
            <w:pPr>
              <w:spacing w:after="0"/>
              <w:rPr>
                <w:sz w:val="13"/>
                <w:szCs w:val="13"/>
                <w:color w:val="auto"/>
              </w:rPr>
            </w:pPr>
          </w:p>
        </w:tc>
        <w:tc>
          <w:tcPr>
            <w:tcW w:w="1440" w:type="dxa"/>
            <w:vAlign w:val="bottom"/>
            <w:tcBorders>
              <w:bottom w:val="single" w:sz="8" w:color="2D53A6"/>
            </w:tcBorders>
          </w:tcPr>
          <w:p>
            <w:pPr>
              <w:spacing w:after="0" w:line="155" w:lineRule="exact"/>
              <w:rPr>
                <w:sz w:val="20"/>
                <w:szCs w:val="20"/>
                <w:color w:val="auto"/>
              </w:rPr>
            </w:pPr>
            <w:r>
              <w:rPr>
                <w:rFonts w:ascii="Arial" w:cs="Arial" w:eastAsia="Arial" w:hAnsi="Arial"/>
                <w:sz w:val="14"/>
                <w:szCs w:val="14"/>
                <w:color w:val="auto"/>
              </w:rPr>
              <w:t>Time-based RSUs</w:t>
            </w:r>
          </w:p>
        </w:tc>
        <w:tc>
          <w:tcPr>
            <w:tcW w:w="200" w:type="dxa"/>
            <w:vAlign w:val="bottom"/>
            <w:tcBorders>
              <w:bottom w:val="single" w:sz="8" w:color="2D53A6"/>
              <w:right w:val="single" w:sz="8" w:color="2D53A6"/>
            </w:tcBorders>
          </w:tcPr>
          <w:p>
            <w:pPr>
              <w:spacing w:after="0"/>
              <w:rPr>
                <w:sz w:val="13"/>
                <w:szCs w:val="13"/>
                <w:color w:val="auto"/>
              </w:rPr>
            </w:pPr>
          </w:p>
        </w:tc>
        <w:tc>
          <w:tcPr>
            <w:tcW w:w="860" w:type="dxa"/>
            <w:vAlign w:val="bottom"/>
            <w:tcBorders>
              <w:bottom w:val="single" w:sz="8" w:color="2D53A6"/>
              <w:right w:val="single" w:sz="8" w:color="2D53A6"/>
            </w:tcBorders>
            <w:gridSpan w:val="2"/>
          </w:tcPr>
          <w:p>
            <w:pPr>
              <w:jc w:val="right"/>
              <w:ind w:right="100"/>
              <w:spacing w:after="0" w:line="155" w:lineRule="exact"/>
              <w:rPr>
                <w:sz w:val="20"/>
                <w:szCs w:val="20"/>
                <w:color w:val="auto"/>
              </w:rPr>
            </w:pPr>
            <w:r>
              <w:rPr>
                <w:rFonts w:ascii="Arial" w:cs="Arial" w:eastAsia="Arial" w:hAnsi="Arial"/>
                <w:sz w:val="14"/>
                <w:szCs w:val="14"/>
                <w:color w:val="auto"/>
              </w:rPr>
              <w:t>3/12/2024</w:t>
            </w:r>
          </w:p>
        </w:tc>
        <w:tc>
          <w:tcPr>
            <w:tcW w:w="120" w:type="dxa"/>
            <w:vAlign w:val="bottom"/>
            <w:tcBorders>
              <w:bottom w:val="single" w:sz="8" w:color="2D53A6"/>
            </w:tcBorders>
          </w:tcPr>
          <w:p>
            <w:pPr>
              <w:spacing w:after="0"/>
              <w:rPr>
                <w:sz w:val="13"/>
                <w:szCs w:val="13"/>
                <w:color w:val="auto"/>
              </w:rPr>
            </w:pPr>
          </w:p>
        </w:tc>
        <w:tc>
          <w:tcPr>
            <w:tcW w:w="600" w:type="dxa"/>
            <w:vAlign w:val="bottom"/>
            <w:tcBorders>
              <w:bottom w:val="single" w:sz="8" w:color="2D53A6"/>
            </w:tcBorders>
          </w:tcPr>
          <w:p>
            <w:pPr>
              <w:spacing w:after="0"/>
              <w:rPr>
                <w:sz w:val="13"/>
                <w:szCs w:val="13"/>
                <w:color w:val="auto"/>
              </w:rPr>
            </w:pPr>
          </w:p>
        </w:tc>
        <w:tc>
          <w:tcPr>
            <w:tcW w:w="240" w:type="dxa"/>
            <w:vAlign w:val="bottom"/>
            <w:tcBorders>
              <w:bottom w:val="single" w:sz="8" w:color="2D53A6"/>
              <w:right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2D53A6"/>
              <w:right w:val="single" w:sz="8" w:color="2D53A6"/>
            </w:tcBorders>
          </w:tcPr>
          <w:p>
            <w:pPr>
              <w:jc w:val="right"/>
              <w:ind w:right="30"/>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2D53A6"/>
              <w:right w:val="single" w:sz="8" w:color="2D53A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2D53A6"/>
              <w:right w:val="single" w:sz="8" w:color="2D53A6"/>
            </w:tcBorders>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2D53A6"/>
              <w:right w:val="single" w:sz="8" w:color="2D53A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2D53A6"/>
            </w:tcBorders>
          </w:tcPr>
          <w:p>
            <w:pPr>
              <w:spacing w:after="0"/>
              <w:rPr>
                <w:sz w:val="13"/>
                <w:szCs w:val="13"/>
                <w:color w:val="auto"/>
              </w:rPr>
            </w:pPr>
          </w:p>
        </w:tc>
        <w:tc>
          <w:tcPr>
            <w:tcW w:w="880" w:type="dxa"/>
            <w:vAlign w:val="bottom"/>
            <w:tcBorders>
              <w:bottom w:val="single" w:sz="8" w:color="2D53A6"/>
              <w:right w:val="single" w:sz="8" w:color="2D53A6"/>
            </w:tcBorders>
            <w:gridSpan w:val="2"/>
          </w:tcPr>
          <w:p>
            <w:pPr>
              <w:jc w:val="right"/>
              <w:ind w:right="120"/>
              <w:spacing w:after="0" w:line="155" w:lineRule="exact"/>
              <w:rPr>
                <w:sz w:val="20"/>
                <w:szCs w:val="20"/>
                <w:color w:val="auto"/>
              </w:rPr>
            </w:pPr>
            <w:r>
              <w:rPr>
                <w:rFonts w:ascii="Arial" w:cs="Arial" w:eastAsia="Arial" w:hAnsi="Arial"/>
                <w:sz w:val="14"/>
                <w:szCs w:val="14"/>
                <w:color w:val="auto"/>
              </w:rPr>
              <w:t>12,360</w:t>
            </w:r>
          </w:p>
        </w:tc>
        <w:tc>
          <w:tcPr>
            <w:tcW w:w="180" w:type="dxa"/>
            <w:vAlign w:val="bottom"/>
            <w:tcBorders>
              <w:bottom w:val="single" w:sz="8" w:color="2D53A6"/>
            </w:tcBorders>
          </w:tcPr>
          <w:p>
            <w:pPr>
              <w:spacing w:after="0"/>
              <w:rPr>
                <w:sz w:val="13"/>
                <w:szCs w:val="13"/>
                <w:color w:val="auto"/>
              </w:rPr>
            </w:pPr>
          </w:p>
        </w:tc>
        <w:tc>
          <w:tcPr>
            <w:tcW w:w="820" w:type="dxa"/>
            <w:vAlign w:val="bottom"/>
            <w:tcBorders>
              <w:bottom w:val="single" w:sz="8" w:color="2D53A6"/>
              <w:right w:val="single" w:sz="8" w:color="2D53A6"/>
            </w:tcBorders>
          </w:tcPr>
          <w:p>
            <w:pPr>
              <w:jc w:val="right"/>
              <w:spacing w:after="0" w:line="155" w:lineRule="exact"/>
              <w:rPr>
                <w:sz w:val="20"/>
                <w:szCs w:val="20"/>
                <w:color w:val="auto"/>
              </w:rPr>
            </w:pPr>
            <w:r>
              <w:rPr>
                <w:rFonts w:ascii="Arial" w:cs="Arial" w:eastAsia="Arial" w:hAnsi="Arial"/>
                <w:sz w:val="14"/>
                <w:szCs w:val="14"/>
                <w:color w:val="auto"/>
              </w:rPr>
              <w:t>393,295</w:t>
            </w:r>
          </w:p>
        </w:tc>
        <w:tc>
          <w:tcPr>
            <w:tcW w:w="0" w:type="dxa"/>
            <w:vAlign w:val="bottom"/>
          </w:tcPr>
          <w:p>
            <w:pPr>
              <w:spacing w:after="0"/>
              <w:rPr>
                <w:sz w:val="1"/>
                <w:szCs w:val="1"/>
                <w:color w:val="auto"/>
              </w:rPr>
            </w:pPr>
          </w:p>
        </w:tc>
      </w:tr>
      <w:tr>
        <w:trPr>
          <w:trHeight w:val="146"/>
        </w:trPr>
        <w:tc>
          <w:tcPr>
            <w:tcW w:w="840" w:type="dxa"/>
            <w:vAlign w:val="bottom"/>
            <w:tcBorders>
              <w:right w:val="single" w:sz="8" w:color="2D53A6"/>
            </w:tcBorders>
          </w:tcPr>
          <w:p>
            <w:pPr>
              <w:ind w:left="20"/>
              <w:spacing w:after="0" w:line="147" w:lineRule="exact"/>
              <w:rPr>
                <w:sz w:val="20"/>
                <w:szCs w:val="20"/>
                <w:color w:val="auto"/>
              </w:rPr>
            </w:pPr>
            <w:r>
              <w:rPr>
                <w:rFonts w:ascii="Arial" w:cs="Arial" w:eastAsia="Arial" w:hAnsi="Arial"/>
                <w:sz w:val="14"/>
                <w:szCs w:val="14"/>
                <w:color w:val="auto"/>
              </w:rPr>
              <w:t>G. Bohrson</w:t>
            </w:r>
          </w:p>
        </w:tc>
        <w:tc>
          <w:tcPr>
            <w:tcW w:w="1440" w:type="dxa"/>
            <w:vAlign w:val="bottom"/>
          </w:tcPr>
          <w:p>
            <w:pPr>
              <w:spacing w:after="0" w:line="147" w:lineRule="exact"/>
              <w:rPr>
                <w:sz w:val="20"/>
                <w:szCs w:val="20"/>
                <w:color w:val="auto"/>
              </w:rPr>
            </w:pPr>
            <w:r>
              <w:rPr>
                <w:rFonts w:ascii="Arial" w:cs="Arial" w:eastAsia="Arial" w:hAnsi="Arial"/>
                <w:sz w:val="14"/>
                <w:szCs w:val="14"/>
                <w:color w:val="auto"/>
              </w:rPr>
              <w:t>Performance-based</w:t>
            </w:r>
          </w:p>
        </w:tc>
        <w:tc>
          <w:tcPr>
            <w:tcW w:w="200" w:type="dxa"/>
            <w:vAlign w:val="bottom"/>
            <w:tcBorders>
              <w:right w:val="single" w:sz="8" w:color="2D53A6"/>
            </w:tcBorders>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right w:val="single" w:sz="8" w:color="2D53A6"/>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Borders>
              <w:right w:val="single" w:sz="8" w:color="2D53A6"/>
            </w:tcBorders>
          </w:tcPr>
          <w:p>
            <w:pPr>
              <w:spacing w:after="0"/>
              <w:rPr>
                <w:sz w:val="12"/>
                <w:szCs w:val="12"/>
                <w:color w:val="auto"/>
              </w:rPr>
            </w:pPr>
          </w:p>
        </w:tc>
        <w:tc>
          <w:tcPr>
            <w:tcW w:w="960" w:type="dxa"/>
            <w:vAlign w:val="bottom"/>
            <w:tcBorders>
              <w:right w:val="single" w:sz="8" w:color="2D53A6"/>
            </w:tcBorders>
          </w:tcPr>
          <w:p>
            <w:pPr>
              <w:spacing w:after="0"/>
              <w:rPr>
                <w:sz w:val="12"/>
                <w:szCs w:val="12"/>
                <w:color w:val="auto"/>
              </w:rPr>
            </w:pPr>
          </w:p>
        </w:tc>
        <w:tc>
          <w:tcPr>
            <w:tcW w:w="1000" w:type="dxa"/>
            <w:vAlign w:val="bottom"/>
            <w:tcBorders>
              <w:right w:val="single" w:sz="8" w:color="2D53A6"/>
            </w:tcBorders>
          </w:tcPr>
          <w:p>
            <w:pPr>
              <w:spacing w:after="0"/>
              <w:rPr>
                <w:sz w:val="12"/>
                <w:szCs w:val="12"/>
                <w:color w:val="auto"/>
              </w:rPr>
            </w:pPr>
          </w:p>
        </w:tc>
        <w:tc>
          <w:tcPr>
            <w:tcW w:w="940" w:type="dxa"/>
            <w:vAlign w:val="bottom"/>
            <w:tcBorders>
              <w:right w:val="single" w:sz="8" w:color="2D53A6"/>
            </w:tcBorders>
          </w:tcPr>
          <w:p>
            <w:pPr>
              <w:spacing w:after="0"/>
              <w:rPr>
                <w:sz w:val="12"/>
                <w:szCs w:val="12"/>
                <w:color w:val="auto"/>
              </w:rPr>
            </w:pPr>
          </w:p>
        </w:tc>
        <w:tc>
          <w:tcPr>
            <w:tcW w:w="980" w:type="dxa"/>
            <w:vAlign w:val="bottom"/>
            <w:tcBorders>
              <w:right w:val="single" w:sz="8" w:color="2D53A6"/>
            </w:tcBorders>
          </w:tcPr>
          <w:p>
            <w:pPr>
              <w:spacing w:after="0"/>
              <w:rPr>
                <w:sz w:val="12"/>
                <w:szCs w:val="12"/>
                <w:color w:val="auto"/>
              </w:rPr>
            </w:pPr>
          </w:p>
        </w:tc>
        <w:tc>
          <w:tcPr>
            <w:tcW w:w="980" w:type="dxa"/>
            <w:vAlign w:val="bottom"/>
            <w:tcBorders>
              <w:right w:val="single" w:sz="8" w:color="2D53A6"/>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Borders>
              <w:right w:val="single" w:sz="8" w:color="2D53A6"/>
            </w:tcBorders>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right w:val="single" w:sz="8" w:color="2D53A6"/>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40" w:type="dxa"/>
            <w:vAlign w:val="bottom"/>
            <w:tcBorders>
              <w:bottom w:val="single" w:sz="8" w:color="2D53A6"/>
              <w:right w:val="single" w:sz="8" w:color="2D53A6"/>
            </w:tcBorders>
          </w:tcPr>
          <w:p>
            <w:pPr>
              <w:spacing w:after="0"/>
              <w:rPr>
                <w:sz w:val="14"/>
                <w:szCs w:val="14"/>
                <w:color w:val="auto"/>
              </w:rPr>
            </w:pPr>
          </w:p>
        </w:tc>
        <w:tc>
          <w:tcPr>
            <w:tcW w:w="1440" w:type="dxa"/>
            <w:vAlign w:val="bottom"/>
            <w:tcBorders>
              <w:bottom w:val="single" w:sz="8" w:color="2D53A6"/>
            </w:tcBorders>
          </w:tcPr>
          <w:p>
            <w:pPr>
              <w:spacing w:after="0"/>
              <w:rPr>
                <w:sz w:val="20"/>
                <w:szCs w:val="20"/>
                <w:color w:val="auto"/>
              </w:rPr>
            </w:pPr>
            <w:r>
              <w:rPr>
                <w:rFonts w:ascii="Arial" w:cs="Arial" w:eastAsia="Arial" w:hAnsi="Arial"/>
                <w:sz w:val="14"/>
                <w:szCs w:val="14"/>
                <w:color w:val="auto"/>
              </w:rPr>
              <w:t>RSUs</w:t>
            </w:r>
          </w:p>
        </w:tc>
        <w:tc>
          <w:tcPr>
            <w:tcW w:w="200" w:type="dxa"/>
            <w:vAlign w:val="bottom"/>
            <w:tcBorders>
              <w:bottom w:val="single" w:sz="8" w:color="2D53A6"/>
              <w:right w:val="single" w:sz="8" w:color="2D53A6"/>
            </w:tcBorders>
          </w:tcPr>
          <w:p>
            <w:pPr>
              <w:spacing w:after="0"/>
              <w:rPr>
                <w:sz w:val="14"/>
                <w:szCs w:val="14"/>
                <w:color w:val="auto"/>
              </w:rPr>
            </w:pPr>
          </w:p>
        </w:tc>
        <w:tc>
          <w:tcPr>
            <w:tcW w:w="860" w:type="dxa"/>
            <w:vAlign w:val="bottom"/>
            <w:tcBorders>
              <w:bottom w:val="single" w:sz="8" w:color="2D53A6"/>
              <w:right w:val="single" w:sz="8" w:color="2D53A6"/>
            </w:tcBorders>
            <w:gridSpan w:val="2"/>
          </w:tcPr>
          <w:p>
            <w:pPr>
              <w:jc w:val="right"/>
              <w:ind w:right="100"/>
              <w:spacing w:after="0"/>
              <w:rPr>
                <w:sz w:val="20"/>
                <w:szCs w:val="20"/>
                <w:color w:val="auto"/>
              </w:rPr>
            </w:pPr>
            <w:r>
              <w:rPr>
                <w:rFonts w:ascii="Arial" w:cs="Arial" w:eastAsia="Arial" w:hAnsi="Arial"/>
                <w:sz w:val="14"/>
                <w:szCs w:val="14"/>
                <w:color w:val="auto"/>
              </w:rPr>
              <w:t>3/12/2024</w:t>
            </w:r>
          </w:p>
        </w:tc>
        <w:tc>
          <w:tcPr>
            <w:tcW w:w="120" w:type="dxa"/>
            <w:vAlign w:val="bottom"/>
            <w:tcBorders>
              <w:bottom w:val="single" w:sz="8" w:color="2D53A6"/>
            </w:tcBorders>
          </w:tcPr>
          <w:p>
            <w:pPr>
              <w:spacing w:after="0"/>
              <w:rPr>
                <w:sz w:val="14"/>
                <w:szCs w:val="14"/>
                <w:color w:val="auto"/>
              </w:rPr>
            </w:pPr>
          </w:p>
        </w:tc>
        <w:tc>
          <w:tcPr>
            <w:tcW w:w="600" w:type="dxa"/>
            <w:vAlign w:val="bottom"/>
            <w:tcBorders>
              <w:bottom w:val="single" w:sz="8" w:color="2D53A6"/>
            </w:tcBorders>
          </w:tcPr>
          <w:p>
            <w:pPr>
              <w:spacing w:after="0"/>
              <w:rPr>
                <w:sz w:val="14"/>
                <w:szCs w:val="14"/>
                <w:color w:val="auto"/>
              </w:rPr>
            </w:pPr>
          </w:p>
        </w:tc>
        <w:tc>
          <w:tcPr>
            <w:tcW w:w="24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2D53A6"/>
              <w:right w:val="single" w:sz="8" w:color="2D53A6"/>
            </w:tcBorders>
          </w:tcPr>
          <w:p>
            <w:pPr>
              <w:jc w:val="right"/>
              <w:ind w:right="3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D53A6"/>
              <w:right w:val="single" w:sz="8" w:color="2D53A6"/>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2D53A6"/>
              <w:right w:val="single" w:sz="8" w:color="2D53A6"/>
            </w:tcBorders>
          </w:tcPr>
          <w:p>
            <w:pPr>
              <w:jc w:val="right"/>
              <w:ind w:right="49"/>
              <w:spacing w:after="0"/>
              <w:rPr>
                <w:sz w:val="20"/>
                <w:szCs w:val="20"/>
                <w:color w:val="auto"/>
              </w:rPr>
            </w:pPr>
            <w:r>
              <w:rPr>
                <w:rFonts w:ascii="Arial" w:cs="Arial" w:eastAsia="Arial" w:hAnsi="Arial"/>
                <w:sz w:val="14"/>
                <w:szCs w:val="14"/>
                <w:color w:val="auto"/>
              </w:rPr>
              <w:t>18,541</w:t>
            </w:r>
          </w:p>
        </w:tc>
        <w:tc>
          <w:tcPr>
            <w:tcW w:w="980" w:type="dxa"/>
            <w:vAlign w:val="bottom"/>
            <w:tcBorders>
              <w:bottom w:val="single" w:sz="8" w:color="2D53A6"/>
              <w:right w:val="single" w:sz="8" w:color="2D53A6"/>
            </w:tcBorders>
          </w:tcPr>
          <w:p>
            <w:pPr>
              <w:jc w:val="right"/>
              <w:ind w:right="28"/>
              <w:spacing w:after="0"/>
              <w:rPr>
                <w:sz w:val="20"/>
                <w:szCs w:val="20"/>
                <w:color w:val="auto"/>
              </w:rPr>
            </w:pPr>
            <w:r>
              <w:rPr>
                <w:rFonts w:ascii="Arial" w:cs="Arial" w:eastAsia="Arial" w:hAnsi="Arial"/>
                <w:sz w:val="14"/>
                <w:szCs w:val="14"/>
                <w:color w:val="auto"/>
              </w:rPr>
              <w:t>37,082</w:t>
            </w:r>
          </w:p>
        </w:tc>
        <w:tc>
          <w:tcPr>
            <w:tcW w:w="200" w:type="dxa"/>
            <w:vAlign w:val="bottom"/>
            <w:tcBorders>
              <w:bottom w:val="single" w:sz="8" w:color="2D53A6"/>
            </w:tcBorders>
          </w:tcPr>
          <w:p>
            <w:pPr>
              <w:spacing w:after="0"/>
              <w:rPr>
                <w:sz w:val="14"/>
                <w:szCs w:val="14"/>
                <w:color w:val="auto"/>
              </w:rPr>
            </w:pPr>
          </w:p>
        </w:tc>
        <w:tc>
          <w:tcPr>
            <w:tcW w:w="880" w:type="dxa"/>
            <w:vAlign w:val="bottom"/>
            <w:tcBorders>
              <w:bottom w:val="single" w:sz="8" w:color="2D53A6"/>
              <w:right w:val="single" w:sz="8" w:color="2D53A6"/>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2D53A6"/>
            </w:tcBorders>
          </w:tcPr>
          <w:p>
            <w:pPr>
              <w:spacing w:after="0"/>
              <w:rPr>
                <w:sz w:val="14"/>
                <w:szCs w:val="14"/>
                <w:color w:val="auto"/>
              </w:rPr>
            </w:pP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4"/>
                <w:szCs w:val="14"/>
                <w:color w:val="auto"/>
              </w:rPr>
              <w:t>629,652</w:t>
            </w:r>
          </w:p>
        </w:tc>
        <w:tc>
          <w:tcPr>
            <w:tcW w:w="0" w:type="dxa"/>
            <w:vAlign w:val="bottom"/>
          </w:tcPr>
          <w:p>
            <w:pPr>
              <w:spacing w:after="0"/>
              <w:rPr>
                <w:sz w:val="1"/>
                <w:szCs w:val="1"/>
                <w:color w:val="auto"/>
              </w:rPr>
            </w:pPr>
          </w:p>
        </w:tc>
      </w:tr>
      <w:tr>
        <w:trPr>
          <w:trHeight w:val="155"/>
        </w:trPr>
        <w:tc>
          <w:tcPr>
            <w:tcW w:w="840" w:type="dxa"/>
            <w:vAlign w:val="bottom"/>
            <w:tcBorders>
              <w:left w:val="single" w:sz="8" w:color="E6E6E6"/>
              <w:bottom w:val="single" w:sz="8" w:color="E6E6E6"/>
              <w:right w:val="single" w:sz="8" w:color="2D53A6"/>
            </w:tcBorders>
            <w:vMerge w:val="restart"/>
            <w:shd w:val="clear" w:color="auto" w:fill="E6E6E6"/>
          </w:tcPr>
          <w:p>
            <w:pPr>
              <w:ind w:left="20"/>
              <w:spacing w:after="0"/>
              <w:rPr>
                <w:sz w:val="20"/>
                <w:szCs w:val="20"/>
                <w:color w:val="auto"/>
              </w:rPr>
            </w:pPr>
            <w:r>
              <w:rPr>
                <w:rFonts w:ascii="Arial" w:cs="Arial" w:eastAsia="Arial" w:hAnsi="Arial"/>
                <w:sz w:val="14"/>
                <w:szCs w:val="14"/>
                <w:color w:val="auto"/>
              </w:rPr>
              <w:t>Thomas D.</w:t>
            </w:r>
          </w:p>
        </w:tc>
        <w:tc>
          <w:tcPr>
            <w:tcW w:w="1440" w:type="dxa"/>
            <w:vAlign w:val="bottom"/>
            <w:tcBorders>
              <w:bottom w:val="single" w:sz="8" w:color="2D53A6"/>
            </w:tcBorders>
            <w:shd w:val="clear" w:color="auto" w:fill="E6E6E6"/>
          </w:tcPr>
          <w:p>
            <w:pPr>
              <w:spacing w:after="0" w:line="155" w:lineRule="exact"/>
              <w:rPr>
                <w:sz w:val="20"/>
                <w:szCs w:val="20"/>
                <w:color w:val="auto"/>
              </w:rPr>
            </w:pPr>
            <w:r>
              <w:rPr>
                <w:rFonts w:ascii="Arial" w:cs="Arial" w:eastAsia="Arial" w:hAnsi="Arial"/>
                <w:sz w:val="14"/>
                <w:szCs w:val="14"/>
                <w:color w:val="auto"/>
              </w:rPr>
              <w:t>Cash Incentives</w:t>
            </w:r>
          </w:p>
        </w:tc>
        <w:tc>
          <w:tcPr>
            <w:tcW w:w="200" w:type="dxa"/>
            <w:vAlign w:val="bottom"/>
            <w:tcBorders>
              <w:bottom w:val="single" w:sz="8" w:color="2D53A6"/>
              <w:right w:val="single" w:sz="8" w:color="2D53A6"/>
            </w:tcBorders>
            <w:shd w:val="clear" w:color="auto" w:fill="E6E6E6"/>
          </w:tcPr>
          <w:p>
            <w:pPr>
              <w:spacing w:after="0"/>
              <w:rPr>
                <w:sz w:val="13"/>
                <w:szCs w:val="13"/>
                <w:color w:val="auto"/>
              </w:rPr>
            </w:pPr>
          </w:p>
        </w:tc>
        <w:tc>
          <w:tcPr>
            <w:tcW w:w="860" w:type="dxa"/>
            <w:vAlign w:val="bottom"/>
            <w:tcBorders>
              <w:bottom w:val="single" w:sz="8" w:color="2D53A6"/>
              <w:right w:val="single" w:sz="8" w:color="2D53A6"/>
            </w:tcBorders>
            <w:gridSpan w:val="2"/>
            <w:shd w:val="clear" w:color="auto" w:fill="E6E6E6"/>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2D53A6"/>
            </w:tcBorders>
            <w:shd w:val="clear" w:color="auto" w:fill="E6E6E6"/>
          </w:tcPr>
          <w:p>
            <w:pPr>
              <w:spacing w:after="0"/>
              <w:rPr>
                <w:sz w:val="13"/>
                <w:szCs w:val="13"/>
                <w:color w:val="auto"/>
              </w:rPr>
            </w:pPr>
          </w:p>
        </w:tc>
        <w:tc>
          <w:tcPr>
            <w:tcW w:w="600" w:type="dxa"/>
            <w:vAlign w:val="bottom"/>
            <w:tcBorders>
              <w:bottom w:val="single" w:sz="8" w:color="2D53A6"/>
            </w:tcBorders>
            <w:shd w:val="clear" w:color="auto" w:fill="E6E6E6"/>
          </w:tcPr>
          <w:p>
            <w:pPr>
              <w:spacing w:after="0"/>
              <w:rPr>
                <w:sz w:val="13"/>
                <w:szCs w:val="13"/>
                <w:color w:val="auto"/>
              </w:rPr>
            </w:pPr>
          </w:p>
        </w:tc>
        <w:tc>
          <w:tcPr>
            <w:tcW w:w="240" w:type="dxa"/>
            <w:vAlign w:val="bottom"/>
            <w:tcBorders>
              <w:bottom w:val="single" w:sz="8" w:color="2D53A6"/>
              <w:right w:val="single" w:sz="8" w:color="2D53A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0</w:t>
            </w:r>
          </w:p>
        </w:tc>
        <w:tc>
          <w:tcPr>
            <w:tcW w:w="960" w:type="dxa"/>
            <w:vAlign w:val="bottom"/>
            <w:tcBorders>
              <w:bottom w:val="single" w:sz="8" w:color="2D53A6"/>
              <w:right w:val="single" w:sz="8" w:color="2D53A6"/>
            </w:tcBorders>
            <w:shd w:val="clear" w:color="auto" w:fill="E6E6E6"/>
          </w:tcPr>
          <w:p>
            <w:pPr>
              <w:jc w:val="right"/>
              <w:ind w:right="30"/>
              <w:spacing w:after="0" w:line="155" w:lineRule="exact"/>
              <w:rPr>
                <w:sz w:val="20"/>
                <w:szCs w:val="20"/>
                <w:color w:val="auto"/>
              </w:rPr>
            </w:pPr>
            <w:r>
              <w:rPr>
                <w:rFonts w:ascii="Arial" w:cs="Arial" w:eastAsia="Arial" w:hAnsi="Arial"/>
                <w:sz w:val="14"/>
                <w:szCs w:val="14"/>
                <w:color w:val="auto"/>
              </w:rPr>
              <w:t>121,500</w:t>
            </w:r>
          </w:p>
        </w:tc>
        <w:tc>
          <w:tcPr>
            <w:tcW w:w="1000" w:type="dxa"/>
            <w:vAlign w:val="bottom"/>
            <w:tcBorders>
              <w:bottom w:val="single" w:sz="8" w:color="2D53A6"/>
              <w:right w:val="single" w:sz="8" w:color="2D53A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243,000</w:t>
            </w:r>
          </w:p>
        </w:tc>
        <w:tc>
          <w:tcPr>
            <w:tcW w:w="94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2D53A6"/>
              <w:right w:val="single" w:sz="8" w:color="2D53A6"/>
            </w:tcBorders>
            <w:shd w:val="clear" w:color="auto" w:fill="E6E6E6"/>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2D53A6"/>
            </w:tcBorders>
            <w:shd w:val="clear" w:color="auto" w:fill="E6E6E6"/>
          </w:tcPr>
          <w:p>
            <w:pPr>
              <w:spacing w:after="0"/>
              <w:rPr>
                <w:sz w:val="13"/>
                <w:szCs w:val="13"/>
                <w:color w:val="auto"/>
              </w:rPr>
            </w:pPr>
          </w:p>
        </w:tc>
        <w:tc>
          <w:tcPr>
            <w:tcW w:w="880" w:type="dxa"/>
            <w:vAlign w:val="bottom"/>
            <w:tcBorders>
              <w:bottom w:val="single" w:sz="8" w:color="2D53A6"/>
              <w:right w:val="single" w:sz="8" w:color="2D53A6"/>
            </w:tcBorders>
            <w:gridSpan w:val="2"/>
            <w:shd w:val="clear" w:color="auto" w:fill="E6E6E6"/>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2D53A6"/>
            </w:tcBorders>
            <w:shd w:val="clear" w:color="auto" w:fill="E6E6E6"/>
          </w:tcPr>
          <w:p>
            <w:pPr>
              <w:spacing w:after="0"/>
              <w:rPr>
                <w:sz w:val="13"/>
                <w:szCs w:val="13"/>
                <w:color w:val="auto"/>
              </w:rPr>
            </w:pPr>
          </w:p>
        </w:tc>
        <w:tc>
          <w:tcPr>
            <w:tcW w:w="820" w:type="dxa"/>
            <w:vAlign w:val="bottom"/>
            <w:tcBorders>
              <w:bottom w:val="single" w:sz="8" w:color="2D53A6"/>
              <w:right w:val="single" w:sz="8" w:color="2D53A6"/>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840" w:type="dxa"/>
            <w:vAlign w:val="bottom"/>
            <w:tcBorders>
              <w:left w:val="single" w:sz="8" w:color="E6E6E6"/>
              <w:bottom w:val="single" w:sz="8" w:color="E6E6E6"/>
              <w:right w:val="single" w:sz="8" w:color="2D53A6"/>
            </w:tcBorders>
            <w:vMerge w:val="continue"/>
            <w:shd w:val="clear" w:color="auto" w:fill="E6E6E6"/>
          </w:tcPr>
          <w:p>
            <w:pPr>
              <w:spacing w:after="0"/>
              <w:rPr>
                <w:sz w:val="13"/>
                <w:szCs w:val="13"/>
                <w:color w:val="auto"/>
              </w:rPr>
            </w:pPr>
          </w:p>
        </w:tc>
        <w:tc>
          <w:tcPr>
            <w:tcW w:w="1440" w:type="dxa"/>
            <w:vAlign w:val="bottom"/>
            <w:tcBorders>
              <w:bottom w:val="single" w:sz="8" w:color="2D53A6"/>
            </w:tcBorders>
            <w:shd w:val="clear" w:color="auto" w:fill="E6E6E6"/>
          </w:tcPr>
          <w:p>
            <w:pPr>
              <w:spacing w:after="0" w:line="155" w:lineRule="exact"/>
              <w:rPr>
                <w:sz w:val="20"/>
                <w:szCs w:val="20"/>
                <w:color w:val="auto"/>
              </w:rPr>
            </w:pPr>
            <w:r>
              <w:rPr>
                <w:rFonts w:ascii="Arial" w:cs="Arial" w:eastAsia="Arial" w:hAnsi="Arial"/>
                <w:sz w:val="14"/>
                <w:szCs w:val="14"/>
                <w:color w:val="auto"/>
              </w:rPr>
              <w:t>Time-based RSUs</w:t>
            </w:r>
          </w:p>
        </w:tc>
        <w:tc>
          <w:tcPr>
            <w:tcW w:w="200" w:type="dxa"/>
            <w:vAlign w:val="bottom"/>
            <w:tcBorders>
              <w:bottom w:val="single" w:sz="8" w:color="2D53A6"/>
              <w:right w:val="single" w:sz="8" w:color="2D53A6"/>
            </w:tcBorders>
            <w:shd w:val="clear" w:color="auto" w:fill="E6E6E6"/>
          </w:tcPr>
          <w:p>
            <w:pPr>
              <w:spacing w:after="0"/>
              <w:rPr>
                <w:sz w:val="13"/>
                <w:szCs w:val="13"/>
                <w:color w:val="auto"/>
              </w:rPr>
            </w:pPr>
          </w:p>
        </w:tc>
        <w:tc>
          <w:tcPr>
            <w:tcW w:w="860" w:type="dxa"/>
            <w:vAlign w:val="bottom"/>
            <w:tcBorders>
              <w:bottom w:val="single" w:sz="8" w:color="2D53A6"/>
              <w:right w:val="single" w:sz="8" w:color="2D53A6"/>
            </w:tcBorders>
            <w:gridSpan w:val="2"/>
            <w:shd w:val="clear" w:color="auto" w:fill="E6E6E6"/>
          </w:tcPr>
          <w:p>
            <w:pPr>
              <w:jc w:val="right"/>
              <w:ind w:right="100"/>
              <w:spacing w:after="0" w:line="155" w:lineRule="exact"/>
              <w:rPr>
                <w:sz w:val="20"/>
                <w:szCs w:val="20"/>
                <w:color w:val="auto"/>
              </w:rPr>
            </w:pPr>
            <w:r>
              <w:rPr>
                <w:rFonts w:ascii="Arial" w:cs="Arial" w:eastAsia="Arial" w:hAnsi="Arial"/>
                <w:sz w:val="14"/>
                <w:szCs w:val="14"/>
                <w:color w:val="auto"/>
              </w:rPr>
              <w:t>3/12/2024</w:t>
            </w:r>
          </w:p>
        </w:tc>
        <w:tc>
          <w:tcPr>
            <w:tcW w:w="120" w:type="dxa"/>
            <w:vAlign w:val="bottom"/>
            <w:tcBorders>
              <w:bottom w:val="single" w:sz="8" w:color="2D53A6"/>
            </w:tcBorders>
            <w:shd w:val="clear" w:color="auto" w:fill="E6E6E6"/>
          </w:tcPr>
          <w:p>
            <w:pPr>
              <w:spacing w:after="0"/>
              <w:rPr>
                <w:sz w:val="13"/>
                <w:szCs w:val="13"/>
                <w:color w:val="auto"/>
              </w:rPr>
            </w:pPr>
          </w:p>
        </w:tc>
        <w:tc>
          <w:tcPr>
            <w:tcW w:w="600" w:type="dxa"/>
            <w:vAlign w:val="bottom"/>
            <w:tcBorders>
              <w:bottom w:val="single" w:sz="8" w:color="2D53A6"/>
            </w:tcBorders>
            <w:shd w:val="clear" w:color="auto" w:fill="E6E6E6"/>
          </w:tcPr>
          <w:p>
            <w:pPr>
              <w:spacing w:after="0"/>
              <w:rPr>
                <w:sz w:val="13"/>
                <w:szCs w:val="13"/>
                <w:color w:val="auto"/>
              </w:rPr>
            </w:pPr>
          </w:p>
        </w:tc>
        <w:tc>
          <w:tcPr>
            <w:tcW w:w="240" w:type="dxa"/>
            <w:vAlign w:val="bottom"/>
            <w:tcBorders>
              <w:bottom w:val="single" w:sz="8" w:color="2D53A6"/>
              <w:right w:val="single" w:sz="8" w:color="2D53A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2D53A6"/>
              <w:right w:val="single" w:sz="8" w:color="2D53A6"/>
            </w:tcBorders>
            <w:shd w:val="clear" w:color="auto" w:fill="E6E6E6"/>
          </w:tcPr>
          <w:p>
            <w:pPr>
              <w:jc w:val="right"/>
              <w:ind w:right="30"/>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2D53A6"/>
              <w:right w:val="single" w:sz="8" w:color="2D53A6"/>
            </w:tcBorders>
            <w:shd w:val="clear" w:color="auto" w:fill="E6E6E6"/>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2D53A6"/>
              <w:right w:val="single" w:sz="8" w:color="2D53A6"/>
            </w:tcBorders>
            <w:shd w:val="clear" w:color="auto" w:fill="E6E6E6"/>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2D53A6"/>
              <w:right w:val="single" w:sz="8" w:color="2D53A6"/>
            </w:tcBorders>
            <w:shd w:val="clear" w:color="auto" w:fill="E6E6E6"/>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2D53A6"/>
            </w:tcBorders>
            <w:shd w:val="clear" w:color="auto" w:fill="E6E6E6"/>
          </w:tcPr>
          <w:p>
            <w:pPr>
              <w:spacing w:after="0"/>
              <w:rPr>
                <w:sz w:val="13"/>
                <w:szCs w:val="13"/>
                <w:color w:val="auto"/>
              </w:rPr>
            </w:pPr>
          </w:p>
        </w:tc>
        <w:tc>
          <w:tcPr>
            <w:tcW w:w="880" w:type="dxa"/>
            <w:vAlign w:val="bottom"/>
            <w:tcBorders>
              <w:bottom w:val="single" w:sz="8" w:color="2D53A6"/>
              <w:right w:val="single" w:sz="8" w:color="2D53A6"/>
            </w:tcBorders>
            <w:gridSpan w:val="2"/>
            <w:shd w:val="clear" w:color="auto" w:fill="E6E6E6"/>
          </w:tcPr>
          <w:p>
            <w:pPr>
              <w:jc w:val="right"/>
              <w:ind w:right="120"/>
              <w:spacing w:after="0" w:line="155" w:lineRule="exact"/>
              <w:rPr>
                <w:sz w:val="20"/>
                <w:szCs w:val="20"/>
                <w:color w:val="auto"/>
              </w:rPr>
            </w:pPr>
            <w:r>
              <w:rPr>
                <w:rFonts w:ascii="Arial" w:cs="Arial" w:eastAsia="Arial" w:hAnsi="Arial"/>
                <w:sz w:val="14"/>
                <w:szCs w:val="14"/>
                <w:color w:val="auto"/>
              </w:rPr>
              <w:t>6,600</w:t>
            </w:r>
          </w:p>
        </w:tc>
        <w:tc>
          <w:tcPr>
            <w:tcW w:w="180" w:type="dxa"/>
            <w:vAlign w:val="bottom"/>
            <w:tcBorders>
              <w:bottom w:val="single" w:sz="8" w:color="2D53A6"/>
            </w:tcBorders>
            <w:shd w:val="clear" w:color="auto" w:fill="E6E6E6"/>
          </w:tcPr>
          <w:p>
            <w:pPr>
              <w:spacing w:after="0"/>
              <w:rPr>
                <w:sz w:val="13"/>
                <w:szCs w:val="13"/>
                <w:color w:val="auto"/>
              </w:rPr>
            </w:pPr>
          </w:p>
        </w:tc>
        <w:tc>
          <w:tcPr>
            <w:tcW w:w="820" w:type="dxa"/>
            <w:vAlign w:val="bottom"/>
            <w:tcBorders>
              <w:bottom w:val="single" w:sz="8" w:color="2D53A6"/>
              <w:right w:val="single" w:sz="8" w:color="2D53A6"/>
            </w:tcBorders>
            <w:shd w:val="clear" w:color="auto" w:fill="E6E6E6"/>
          </w:tcPr>
          <w:p>
            <w:pPr>
              <w:jc w:val="right"/>
              <w:spacing w:after="0" w:line="155" w:lineRule="exact"/>
              <w:rPr>
                <w:sz w:val="20"/>
                <w:szCs w:val="20"/>
                <w:color w:val="auto"/>
              </w:rPr>
            </w:pPr>
            <w:r>
              <w:rPr>
                <w:rFonts w:ascii="Arial" w:cs="Arial" w:eastAsia="Arial" w:hAnsi="Arial"/>
                <w:sz w:val="14"/>
                <w:szCs w:val="14"/>
                <w:color w:val="auto"/>
              </w:rPr>
              <w:t>210,012</w:t>
            </w:r>
          </w:p>
        </w:tc>
        <w:tc>
          <w:tcPr>
            <w:tcW w:w="0" w:type="dxa"/>
            <w:vAlign w:val="bottom"/>
          </w:tcPr>
          <w:p>
            <w:pPr>
              <w:spacing w:after="0"/>
              <w:rPr>
                <w:sz w:val="1"/>
                <w:szCs w:val="1"/>
                <w:color w:val="auto"/>
              </w:rPr>
            </w:pPr>
          </w:p>
        </w:tc>
      </w:tr>
      <w:tr>
        <w:trPr>
          <w:trHeight w:val="146"/>
        </w:trPr>
        <w:tc>
          <w:tcPr>
            <w:tcW w:w="840" w:type="dxa"/>
            <w:vAlign w:val="bottom"/>
            <w:tcBorders>
              <w:left w:val="single" w:sz="8" w:color="E6E6E6"/>
              <w:right w:val="single" w:sz="8" w:color="2D53A6"/>
            </w:tcBorders>
            <w:shd w:val="clear" w:color="auto" w:fill="E6E6E6"/>
          </w:tcPr>
          <w:p>
            <w:pPr>
              <w:ind w:left="20"/>
              <w:spacing w:after="0" w:line="147" w:lineRule="exact"/>
              <w:rPr>
                <w:sz w:val="20"/>
                <w:szCs w:val="20"/>
                <w:color w:val="auto"/>
              </w:rPr>
            </w:pPr>
            <w:r>
              <w:rPr>
                <w:rFonts w:ascii="Arial" w:cs="Arial" w:eastAsia="Arial" w:hAnsi="Arial"/>
                <w:sz w:val="14"/>
                <w:szCs w:val="14"/>
                <w:color w:val="auto"/>
              </w:rPr>
              <w:t>Kampfer</w:t>
            </w:r>
          </w:p>
        </w:tc>
        <w:tc>
          <w:tcPr>
            <w:tcW w:w="1440" w:type="dxa"/>
            <w:vAlign w:val="bottom"/>
            <w:shd w:val="clear" w:color="auto" w:fill="E6E6E6"/>
          </w:tcPr>
          <w:p>
            <w:pPr>
              <w:spacing w:after="0" w:line="147" w:lineRule="exact"/>
              <w:rPr>
                <w:sz w:val="20"/>
                <w:szCs w:val="20"/>
                <w:color w:val="auto"/>
              </w:rPr>
            </w:pPr>
            <w:r>
              <w:rPr>
                <w:rFonts w:ascii="Arial" w:cs="Arial" w:eastAsia="Arial" w:hAnsi="Arial"/>
                <w:sz w:val="14"/>
                <w:szCs w:val="14"/>
                <w:color w:val="auto"/>
              </w:rPr>
              <w:t>Performance-based</w:t>
            </w:r>
          </w:p>
        </w:tc>
        <w:tc>
          <w:tcPr>
            <w:tcW w:w="200" w:type="dxa"/>
            <w:vAlign w:val="bottom"/>
            <w:tcBorders>
              <w:right w:val="single" w:sz="8" w:color="2D53A6"/>
            </w:tcBorders>
            <w:shd w:val="clear" w:color="auto" w:fill="E6E6E6"/>
          </w:tcPr>
          <w:p>
            <w:pPr>
              <w:spacing w:after="0"/>
              <w:rPr>
                <w:sz w:val="12"/>
                <w:szCs w:val="12"/>
                <w:color w:val="auto"/>
              </w:rPr>
            </w:pPr>
          </w:p>
        </w:tc>
        <w:tc>
          <w:tcPr>
            <w:tcW w:w="760" w:type="dxa"/>
            <w:vAlign w:val="bottom"/>
            <w:shd w:val="clear" w:color="auto" w:fill="E6E6E6"/>
          </w:tcPr>
          <w:p>
            <w:pPr>
              <w:spacing w:after="0"/>
              <w:rPr>
                <w:sz w:val="12"/>
                <w:szCs w:val="12"/>
                <w:color w:val="auto"/>
              </w:rPr>
            </w:pPr>
          </w:p>
        </w:tc>
        <w:tc>
          <w:tcPr>
            <w:tcW w:w="100" w:type="dxa"/>
            <w:vAlign w:val="bottom"/>
            <w:tcBorders>
              <w:right w:val="single" w:sz="8" w:color="2D53A6"/>
            </w:tcBorders>
            <w:shd w:val="clear" w:color="auto" w:fill="E6E6E6"/>
          </w:tcPr>
          <w:p>
            <w:pPr>
              <w:spacing w:after="0"/>
              <w:rPr>
                <w:sz w:val="12"/>
                <w:szCs w:val="12"/>
                <w:color w:val="auto"/>
              </w:rPr>
            </w:pPr>
          </w:p>
        </w:tc>
        <w:tc>
          <w:tcPr>
            <w:tcW w:w="120" w:type="dxa"/>
            <w:vAlign w:val="bottom"/>
            <w:shd w:val="clear" w:color="auto" w:fill="E6E6E6"/>
          </w:tcPr>
          <w:p>
            <w:pPr>
              <w:spacing w:after="0"/>
              <w:rPr>
                <w:sz w:val="12"/>
                <w:szCs w:val="12"/>
                <w:color w:val="auto"/>
              </w:rPr>
            </w:pPr>
          </w:p>
        </w:tc>
        <w:tc>
          <w:tcPr>
            <w:tcW w:w="600" w:type="dxa"/>
            <w:vAlign w:val="bottom"/>
            <w:shd w:val="clear" w:color="auto" w:fill="E6E6E6"/>
          </w:tcPr>
          <w:p>
            <w:pPr>
              <w:spacing w:after="0"/>
              <w:rPr>
                <w:sz w:val="12"/>
                <w:szCs w:val="12"/>
                <w:color w:val="auto"/>
              </w:rPr>
            </w:pPr>
          </w:p>
        </w:tc>
        <w:tc>
          <w:tcPr>
            <w:tcW w:w="240" w:type="dxa"/>
            <w:vAlign w:val="bottom"/>
            <w:tcBorders>
              <w:right w:val="single" w:sz="8" w:color="2D53A6"/>
            </w:tcBorders>
            <w:shd w:val="clear" w:color="auto" w:fill="E6E6E6"/>
          </w:tcPr>
          <w:p>
            <w:pPr>
              <w:spacing w:after="0"/>
              <w:rPr>
                <w:sz w:val="12"/>
                <w:szCs w:val="12"/>
                <w:color w:val="auto"/>
              </w:rPr>
            </w:pPr>
          </w:p>
        </w:tc>
        <w:tc>
          <w:tcPr>
            <w:tcW w:w="960" w:type="dxa"/>
            <w:vAlign w:val="bottom"/>
            <w:tcBorders>
              <w:right w:val="single" w:sz="8" w:color="2D53A6"/>
            </w:tcBorders>
            <w:shd w:val="clear" w:color="auto" w:fill="E6E6E6"/>
          </w:tcPr>
          <w:p>
            <w:pPr>
              <w:spacing w:after="0"/>
              <w:rPr>
                <w:sz w:val="12"/>
                <w:szCs w:val="12"/>
                <w:color w:val="auto"/>
              </w:rPr>
            </w:pPr>
          </w:p>
        </w:tc>
        <w:tc>
          <w:tcPr>
            <w:tcW w:w="1000" w:type="dxa"/>
            <w:vAlign w:val="bottom"/>
            <w:tcBorders>
              <w:right w:val="single" w:sz="8" w:color="2D53A6"/>
            </w:tcBorders>
            <w:shd w:val="clear" w:color="auto" w:fill="E6E6E6"/>
          </w:tcPr>
          <w:p>
            <w:pPr>
              <w:spacing w:after="0"/>
              <w:rPr>
                <w:sz w:val="12"/>
                <w:szCs w:val="12"/>
                <w:color w:val="auto"/>
              </w:rPr>
            </w:pPr>
          </w:p>
        </w:tc>
        <w:tc>
          <w:tcPr>
            <w:tcW w:w="940" w:type="dxa"/>
            <w:vAlign w:val="bottom"/>
            <w:tcBorders>
              <w:right w:val="single" w:sz="8" w:color="2D53A6"/>
            </w:tcBorders>
            <w:shd w:val="clear" w:color="auto" w:fill="E6E6E6"/>
          </w:tcPr>
          <w:p>
            <w:pPr>
              <w:spacing w:after="0"/>
              <w:rPr>
                <w:sz w:val="12"/>
                <w:szCs w:val="12"/>
                <w:color w:val="auto"/>
              </w:rPr>
            </w:pPr>
          </w:p>
        </w:tc>
        <w:tc>
          <w:tcPr>
            <w:tcW w:w="980" w:type="dxa"/>
            <w:vAlign w:val="bottom"/>
            <w:tcBorders>
              <w:right w:val="single" w:sz="8" w:color="2D53A6"/>
            </w:tcBorders>
            <w:shd w:val="clear" w:color="auto" w:fill="E6E6E6"/>
          </w:tcPr>
          <w:p>
            <w:pPr>
              <w:spacing w:after="0"/>
              <w:rPr>
                <w:sz w:val="12"/>
                <w:szCs w:val="12"/>
                <w:color w:val="auto"/>
              </w:rPr>
            </w:pPr>
          </w:p>
        </w:tc>
        <w:tc>
          <w:tcPr>
            <w:tcW w:w="980" w:type="dxa"/>
            <w:vAlign w:val="bottom"/>
            <w:tcBorders>
              <w:right w:val="single" w:sz="8" w:color="2D53A6"/>
            </w:tcBorders>
            <w:shd w:val="clear" w:color="auto" w:fill="E6E6E6"/>
          </w:tcPr>
          <w:p>
            <w:pPr>
              <w:spacing w:after="0"/>
              <w:rPr>
                <w:sz w:val="12"/>
                <w:szCs w:val="12"/>
                <w:color w:val="auto"/>
              </w:rPr>
            </w:pPr>
          </w:p>
        </w:tc>
        <w:tc>
          <w:tcPr>
            <w:tcW w:w="200" w:type="dxa"/>
            <w:vAlign w:val="bottom"/>
            <w:shd w:val="clear" w:color="auto" w:fill="E6E6E6"/>
          </w:tcPr>
          <w:p>
            <w:pPr>
              <w:spacing w:after="0"/>
              <w:rPr>
                <w:sz w:val="12"/>
                <w:szCs w:val="12"/>
                <w:color w:val="auto"/>
              </w:rPr>
            </w:pPr>
          </w:p>
        </w:tc>
        <w:tc>
          <w:tcPr>
            <w:tcW w:w="760" w:type="dxa"/>
            <w:vAlign w:val="bottom"/>
            <w:shd w:val="clear" w:color="auto" w:fill="E6E6E6"/>
          </w:tcPr>
          <w:p>
            <w:pPr>
              <w:spacing w:after="0"/>
              <w:rPr>
                <w:sz w:val="12"/>
                <w:szCs w:val="12"/>
                <w:color w:val="auto"/>
              </w:rPr>
            </w:pPr>
          </w:p>
        </w:tc>
        <w:tc>
          <w:tcPr>
            <w:tcW w:w="120" w:type="dxa"/>
            <w:vAlign w:val="bottom"/>
            <w:tcBorders>
              <w:right w:val="single" w:sz="8" w:color="2D53A6"/>
            </w:tcBorders>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820" w:type="dxa"/>
            <w:vAlign w:val="bottom"/>
            <w:tcBorders>
              <w:right w:val="single" w:sz="8" w:color="2D53A6"/>
            </w:tcBorders>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40" w:type="dxa"/>
            <w:vAlign w:val="bottom"/>
            <w:tcBorders>
              <w:left w:val="single" w:sz="8" w:color="E6E6E6"/>
              <w:bottom w:val="single" w:sz="8" w:color="2D53A6"/>
              <w:right w:val="single" w:sz="8" w:color="2D53A6"/>
            </w:tcBorders>
            <w:shd w:val="clear" w:color="auto" w:fill="E6E6E6"/>
          </w:tcPr>
          <w:p>
            <w:pPr>
              <w:spacing w:after="0"/>
              <w:rPr>
                <w:sz w:val="14"/>
                <w:szCs w:val="14"/>
                <w:color w:val="auto"/>
              </w:rPr>
            </w:pPr>
          </w:p>
        </w:tc>
        <w:tc>
          <w:tcPr>
            <w:tcW w:w="1440" w:type="dxa"/>
            <w:vAlign w:val="bottom"/>
            <w:tcBorders>
              <w:bottom w:val="single" w:sz="8" w:color="2D53A6"/>
            </w:tcBorders>
            <w:shd w:val="clear" w:color="auto" w:fill="E6E6E6"/>
          </w:tcPr>
          <w:p>
            <w:pPr>
              <w:spacing w:after="0"/>
              <w:rPr>
                <w:sz w:val="20"/>
                <w:szCs w:val="20"/>
                <w:color w:val="auto"/>
              </w:rPr>
            </w:pPr>
            <w:r>
              <w:rPr>
                <w:rFonts w:ascii="Arial" w:cs="Arial" w:eastAsia="Arial" w:hAnsi="Arial"/>
                <w:sz w:val="14"/>
                <w:szCs w:val="14"/>
                <w:color w:val="auto"/>
              </w:rPr>
              <w:t>RSUs</w:t>
            </w:r>
          </w:p>
        </w:tc>
        <w:tc>
          <w:tcPr>
            <w:tcW w:w="200" w:type="dxa"/>
            <w:vAlign w:val="bottom"/>
            <w:tcBorders>
              <w:bottom w:val="single" w:sz="8" w:color="2D53A6"/>
              <w:right w:val="single" w:sz="8" w:color="2D53A6"/>
            </w:tcBorders>
            <w:shd w:val="clear" w:color="auto" w:fill="E6E6E6"/>
          </w:tcPr>
          <w:p>
            <w:pPr>
              <w:spacing w:after="0"/>
              <w:rPr>
                <w:sz w:val="14"/>
                <w:szCs w:val="14"/>
                <w:color w:val="auto"/>
              </w:rPr>
            </w:pPr>
          </w:p>
        </w:tc>
        <w:tc>
          <w:tcPr>
            <w:tcW w:w="860" w:type="dxa"/>
            <w:vAlign w:val="bottom"/>
            <w:tcBorders>
              <w:bottom w:val="single" w:sz="8" w:color="2D53A6"/>
              <w:right w:val="single" w:sz="8" w:color="2D53A6"/>
            </w:tcBorders>
            <w:gridSpan w:val="2"/>
            <w:shd w:val="clear" w:color="auto" w:fill="E6E6E6"/>
          </w:tcPr>
          <w:p>
            <w:pPr>
              <w:jc w:val="right"/>
              <w:ind w:right="100"/>
              <w:spacing w:after="0"/>
              <w:rPr>
                <w:sz w:val="20"/>
                <w:szCs w:val="20"/>
                <w:color w:val="auto"/>
              </w:rPr>
            </w:pPr>
            <w:r>
              <w:rPr>
                <w:rFonts w:ascii="Arial" w:cs="Arial" w:eastAsia="Arial" w:hAnsi="Arial"/>
                <w:sz w:val="14"/>
                <w:szCs w:val="14"/>
                <w:color w:val="auto"/>
              </w:rPr>
              <w:t>3/12/2024</w:t>
            </w:r>
          </w:p>
        </w:tc>
        <w:tc>
          <w:tcPr>
            <w:tcW w:w="120" w:type="dxa"/>
            <w:vAlign w:val="bottom"/>
            <w:tcBorders>
              <w:bottom w:val="single" w:sz="8" w:color="2D53A6"/>
            </w:tcBorders>
            <w:shd w:val="clear" w:color="auto" w:fill="E6E6E6"/>
          </w:tcPr>
          <w:p>
            <w:pPr>
              <w:spacing w:after="0"/>
              <w:rPr>
                <w:sz w:val="14"/>
                <w:szCs w:val="14"/>
                <w:color w:val="auto"/>
              </w:rPr>
            </w:pPr>
          </w:p>
        </w:tc>
        <w:tc>
          <w:tcPr>
            <w:tcW w:w="600" w:type="dxa"/>
            <w:vAlign w:val="bottom"/>
            <w:tcBorders>
              <w:bottom w:val="single" w:sz="8" w:color="2D53A6"/>
            </w:tcBorders>
            <w:shd w:val="clear" w:color="auto" w:fill="E6E6E6"/>
          </w:tcPr>
          <w:p>
            <w:pPr>
              <w:spacing w:after="0"/>
              <w:rPr>
                <w:sz w:val="14"/>
                <w:szCs w:val="14"/>
                <w:color w:val="auto"/>
              </w:rPr>
            </w:pPr>
          </w:p>
        </w:tc>
        <w:tc>
          <w:tcPr>
            <w:tcW w:w="240" w:type="dxa"/>
            <w:vAlign w:val="bottom"/>
            <w:tcBorders>
              <w:bottom w:val="single" w:sz="8" w:color="2D53A6"/>
              <w:right w:val="single" w:sz="8" w:color="2D53A6"/>
            </w:tcBorders>
            <w:shd w:val="clear" w:color="auto" w:fill="E6E6E6"/>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2D53A6"/>
              <w:right w:val="single" w:sz="8" w:color="2D53A6"/>
            </w:tcBorders>
            <w:shd w:val="clear" w:color="auto" w:fill="E6E6E6"/>
          </w:tcPr>
          <w:p>
            <w:pPr>
              <w:jc w:val="right"/>
              <w:ind w:right="3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D53A6"/>
              <w:right w:val="single" w:sz="8" w:color="2D53A6"/>
            </w:tcBorders>
            <w:shd w:val="clear" w:color="auto" w:fill="E6E6E6"/>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2D53A6"/>
              <w:right w:val="single" w:sz="8" w:color="2D53A6"/>
            </w:tcBorders>
            <w:shd w:val="clear" w:color="auto" w:fill="E6E6E6"/>
          </w:tcPr>
          <w:p>
            <w:pPr>
              <w:jc w:val="right"/>
              <w:ind w:right="28"/>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2D53A6"/>
              <w:right w:val="single" w:sz="8" w:color="2D53A6"/>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D53A6"/>
              <w:right w:val="single" w:sz="8" w:color="2D53A6"/>
            </w:tcBorders>
            <w:shd w:val="clear" w:color="auto" w:fill="E6E6E6"/>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2D53A6"/>
            </w:tcBorders>
            <w:shd w:val="clear" w:color="auto" w:fill="E6E6E6"/>
          </w:tcPr>
          <w:p>
            <w:pPr>
              <w:spacing w:after="0"/>
              <w:rPr>
                <w:sz w:val="14"/>
                <w:szCs w:val="14"/>
                <w:color w:val="auto"/>
              </w:rPr>
            </w:pPr>
          </w:p>
        </w:tc>
        <w:tc>
          <w:tcPr>
            <w:tcW w:w="880" w:type="dxa"/>
            <w:vAlign w:val="bottom"/>
            <w:tcBorders>
              <w:bottom w:val="single" w:sz="8" w:color="2D53A6"/>
              <w:right w:val="single" w:sz="8" w:color="2D53A6"/>
            </w:tcBorders>
            <w:gridSpan w:val="2"/>
            <w:shd w:val="clear" w:color="auto" w:fill="E6E6E6"/>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2D53A6"/>
            </w:tcBorders>
            <w:shd w:val="clear" w:color="auto" w:fill="E6E6E6"/>
          </w:tcPr>
          <w:p>
            <w:pPr>
              <w:spacing w:after="0"/>
              <w:rPr>
                <w:sz w:val="14"/>
                <w:szCs w:val="14"/>
                <w:color w:val="auto"/>
              </w:rPr>
            </w:pPr>
          </w:p>
        </w:tc>
        <w:tc>
          <w:tcPr>
            <w:tcW w:w="8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line="246"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Amounts shown are estimated possible payouts for fiscal year 2024 under the executive cash incentive plan. These amounts are based on the individual’s 2024 base salary amounts, and position. The maximum amount shown is 200% of the target amount for each of the NEOs. Actual cash incentives received by the NEOs for 2024 are reported in the Summary Compensation Table under the column entitled “Non-Equity Incentive Plan Compensation.” Amounts earned by our NEOs for performance in 2024 are based on the attainment of performance goals for both Cohu and the individual NEO, as described in more detail in “Annual Cash Incentives” in the CD&amp;A above.</w:t>
      </w:r>
    </w:p>
    <w:p>
      <w:pPr>
        <w:spacing w:after="0" w:line="1" w:lineRule="exact"/>
        <w:rPr>
          <w:rFonts w:ascii="Arial" w:cs="Arial" w:eastAsia="Arial" w:hAnsi="Arial"/>
          <w:sz w:val="14"/>
          <w:szCs w:val="14"/>
          <w:color w:val="auto"/>
        </w:rPr>
      </w:pPr>
    </w:p>
    <w:p>
      <w:pPr>
        <w:ind w:left="340" w:right="80" w:hanging="332"/>
        <w:spacing w:after="0" w:line="241"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PSU awards granted to our NEOs in 2024 are subject to certain adjustments resulting from the performance of our total stockholder return (“TSR”) relative to a pre-selected comparator group over the three-year period following the date of grant. The PSU awards granted in 2024 may be earned and vest 100% on the third anniversary of the date of grant.</w:t>
      </w:r>
    </w:p>
    <w:p>
      <w:pPr>
        <w:spacing w:after="0" w:line="1" w:lineRule="exact"/>
        <w:rPr>
          <w:rFonts w:ascii="Arial" w:cs="Arial" w:eastAsia="Arial" w:hAnsi="Arial"/>
          <w:sz w:val="14"/>
          <w:szCs w:val="14"/>
          <w:color w:val="auto"/>
        </w:rPr>
      </w:pPr>
    </w:p>
    <w:p>
      <w:pPr>
        <w:ind w:left="340" w:right="300" w:hanging="332"/>
        <w:spacing w:after="0" w:line="241"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amounts reflect the number of RSUs awarded to each NEO under the 2005 Plan. The RSU awards granted to our NEOs in 2024 vest ratably in three equal annual installments over three years following the date of grant, except for Mr. Kampfer’s RSUs which vest on the first anniversary of the date of grant.</w:t>
      </w:r>
    </w:p>
    <w:p>
      <w:pPr>
        <w:ind w:left="340" w:right="120" w:hanging="332"/>
        <w:spacing w:after="0" w:line="264"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amounts shown are the grant date fair value for stock awards granted in 2024. The assumptions used to calculate the grant date fair value of the awards are set forth in Note 6, “Employee Benefit Plans”, included in Part IV, Item 15(a) of Cohu’s Annual Report on Form 10-K for the year ended December 28, 2024, filed with the SEC.</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Equity Awards on December 28, 2024 Table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all outstanding equity awards held by our NEOs at the end of 2024, which ended on December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45020" cy="29444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5020" cy="29444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Named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Executive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Luis A.</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Müller</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Jeffrey 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Jones</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Christopher 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Bohrson</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Thomas 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Kampfer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0" w:type="dxa"/>
            <w:vAlign w:val="bottom"/>
          </w:tcPr>
          <w:p>
            <w:pPr>
              <w:jc w:val="right"/>
              <w:ind w:right="288"/>
              <w:spacing w:after="0"/>
              <w:rPr>
                <w:sz w:val="20"/>
                <w:szCs w:val="20"/>
                <w:color w:val="auto"/>
              </w:rPr>
            </w:pPr>
            <w:r>
              <w:rPr>
                <w:rFonts w:ascii="Arial" w:cs="Arial" w:eastAsia="Arial" w:hAnsi="Arial"/>
                <w:sz w:val="14"/>
                <w:szCs w:val="14"/>
                <w:b w:val="1"/>
                <w:bCs w:val="1"/>
                <w:color w:val="FFFFFF"/>
              </w:rPr>
              <w:t>STOCK AWARDS</w:t>
            </w:r>
          </w:p>
        </w:tc>
        <w:tc>
          <w:tcPr>
            <w:tcW w:w="1980" w:type="dxa"/>
            <w:vAlign w:val="bottom"/>
          </w:tcPr>
          <w:p>
            <w:pPr>
              <w:spacing w:after="0"/>
              <w:rPr>
                <w:sz w:val="17"/>
                <w:szCs w:val="17"/>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128"/>
        </w:trPr>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Equity</w:t>
            </w:r>
          </w:p>
        </w:tc>
        <w:tc>
          <w:tcPr>
            <w:tcW w:w="2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Incentive</w:t>
            </w: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Incentive</w:t>
            </w: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Plan Awards:</w:t>
            </w: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FFFFFF"/>
              </w:rPr>
              <w:t>Number</w:t>
            </w:r>
          </w:p>
        </w:tc>
        <w:tc>
          <w:tcPr>
            <w:tcW w:w="700" w:type="dxa"/>
            <w:vAlign w:val="bottom"/>
          </w:tcPr>
          <w:p>
            <w:pPr>
              <w:spacing w:after="0"/>
              <w:rPr>
                <w:sz w:val="7"/>
                <w:szCs w:val="7"/>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Market Value</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Plan Awards:</w:t>
            </w: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1980" w:type="dxa"/>
            <w:vAlign w:val="bottom"/>
            <w:vMerge w:val="continue"/>
          </w:tcPr>
          <w:p>
            <w:pPr>
              <w:spacing w:after="0"/>
              <w:rPr>
                <w:sz w:val="7"/>
                <w:szCs w:val="7"/>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Market or</w:t>
            </w: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FFFFFF"/>
              </w:rPr>
              <w:t>of Shares</w:t>
            </w:r>
          </w:p>
        </w:tc>
        <w:tc>
          <w:tcPr>
            <w:tcW w:w="700" w:type="dxa"/>
            <w:vAlign w:val="bottom"/>
          </w:tcPr>
          <w:p>
            <w:pPr>
              <w:spacing w:after="0"/>
              <w:rPr>
                <w:sz w:val="7"/>
                <w:szCs w:val="7"/>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of Shares</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Number of</w:t>
            </w: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1980" w:type="dxa"/>
            <w:vAlign w:val="bottom"/>
            <w:vMerge w:val="continue"/>
          </w:tcPr>
          <w:p>
            <w:pPr>
              <w:spacing w:after="0"/>
              <w:rPr>
                <w:sz w:val="7"/>
                <w:szCs w:val="7"/>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Payout Value</w:t>
            </w:r>
          </w:p>
        </w:tc>
        <w:tc>
          <w:tcPr>
            <w:tcW w:w="0" w:type="dxa"/>
            <w:vAlign w:val="bottom"/>
          </w:tcPr>
          <w:p>
            <w:pPr>
              <w:spacing w:after="0"/>
              <w:rPr>
                <w:sz w:val="1"/>
                <w:szCs w:val="1"/>
                <w:color w:val="auto"/>
              </w:rPr>
            </w:pPr>
          </w:p>
        </w:tc>
      </w:tr>
      <w:tr>
        <w:trPr>
          <w:trHeight w:val="81"/>
        </w:trPr>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Award Grant</w:t>
            </w:r>
          </w:p>
        </w:tc>
        <w:tc>
          <w:tcPr>
            <w:tcW w:w="200" w:type="dxa"/>
            <w:vAlign w:val="bottom"/>
          </w:tcPr>
          <w:p>
            <w:pPr>
              <w:spacing w:after="0"/>
              <w:rPr>
                <w:sz w:val="7"/>
                <w:szCs w:val="7"/>
                <w:color w:val="auto"/>
              </w:rPr>
            </w:pPr>
          </w:p>
        </w:tc>
        <w:tc>
          <w:tcPr>
            <w:tcW w:w="120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FFFFFF"/>
              </w:rPr>
              <w:t>or Units of</w:t>
            </w:r>
          </w:p>
        </w:tc>
        <w:tc>
          <w:tcPr>
            <w:tcW w:w="700" w:type="dxa"/>
            <w:vAlign w:val="bottom"/>
          </w:tcPr>
          <w:p>
            <w:pPr>
              <w:spacing w:after="0"/>
              <w:rPr>
                <w:sz w:val="7"/>
                <w:szCs w:val="7"/>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or Units of</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Unearned</w:t>
            </w: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1980" w:type="dxa"/>
            <w:vAlign w:val="bottom"/>
            <w:vMerge w:val="continue"/>
          </w:tcPr>
          <w:p>
            <w:pPr>
              <w:spacing w:after="0"/>
              <w:rPr>
                <w:sz w:val="7"/>
                <w:szCs w:val="7"/>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of Unearned</w:t>
            </w:r>
          </w:p>
        </w:tc>
        <w:tc>
          <w:tcPr>
            <w:tcW w:w="0" w:type="dxa"/>
            <w:vAlign w:val="bottom"/>
          </w:tcPr>
          <w:p>
            <w:pPr>
              <w:spacing w:after="0"/>
              <w:rPr>
                <w:sz w:val="1"/>
                <w:szCs w:val="1"/>
                <w:color w:val="auto"/>
              </w:rPr>
            </w:pPr>
          </w:p>
        </w:tc>
      </w:tr>
      <w:tr>
        <w:trPr>
          <w:trHeight w:val="81"/>
        </w:trPr>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FFFFFF"/>
                <w:w w:val="98"/>
              </w:rPr>
              <w:t>Date</w:t>
            </w:r>
          </w:p>
        </w:tc>
        <w:tc>
          <w:tcPr>
            <w:tcW w:w="200" w:type="dxa"/>
            <w:vAlign w:val="bottom"/>
          </w:tcPr>
          <w:p>
            <w:pPr>
              <w:spacing w:after="0"/>
              <w:rPr>
                <w:sz w:val="7"/>
                <w:szCs w:val="7"/>
                <w:color w:val="auto"/>
              </w:rPr>
            </w:pPr>
          </w:p>
        </w:tc>
        <w:tc>
          <w:tcPr>
            <w:tcW w:w="120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FFFFFF"/>
              </w:rPr>
              <w:t>Stock That</w:t>
            </w:r>
          </w:p>
        </w:tc>
        <w:tc>
          <w:tcPr>
            <w:tcW w:w="700" w:type="dxa"/>
            <w:vAlign w:val="bottom"/>
          </w:tcPr>
          <w:p>
            <w:pPr>
              <w:spacing w:after="0"/>
              <w:rPr>
                <w:sz w:val="7"/>
                <w:szCs w:val="7"/>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Stock That</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Shares, Units</w:t>
            </w: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1980" w:type="dxa"/>
            <w:vAlign w:val="bottom"/>
            <w:vMerge w:val="continue"/>
          </w:tcPr>
          <w:p>
            <w:pPr>
              <w:spacing w:after="0"/>
              <w:rPr>
                <w:sz w:val="7"/>
                <w:szCs w:val="7"/>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Shares, Units</w:t>
            </w: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vMerge w:val="restart"/>
          </w:tcPr>
          <w:p>
            <w:pPr>
              <w:jc w:val="center"/>
              <w:ind w:left="308"/>
              <w:spacing w:after="0" w:line="159" w:lineRule="exact"/>
              <w:rPr>
                <w:sz w:val="20"/>
                <w:szCs w:val="20"/>
                <w:color w:val="auto"/>
              </w:rPr>
            </w:pPr>
            <w:r>
              <w:rPr>
                <w:rFonts w:ascii="Arial" w:cs="Arial" w:eastAsia="Arial" w:hAnsi="Arial"/>
                <w:sz w:val="14"/>
                <w:szCs w:val="14"/>
                <w:b w:val="1"/>
                <w:bCs w:val="1"/>
                <w:color w:val="FFFFFF"/>
              </w:rPr>
              <w:t>Have Not</w:t>
            </w:r>
          </w:p>
        </w:tc>
        <w:tc>
          <w:tcPr>
            <w:tcW w:w="700" w:type="dxa"/>
            <w:vAlign w:val="bottom"/>
          </w:tcPr>
          <w:p>
            <w:pPr>
              <w:spacing w:after="0"/>
              <w:rPr>
                <w:sz w:val="7"/>
                <w:szCs w:val="7"/>
                <w:color w:val="auto"/>
              </w:rPr>
            </w:pPr>
          </w:p>
        </w:tc>
        <w:tc>
          <w:tcPr>
            <w:tcW w:w="2000" w:type="dxa"/>
            <w:vAlign w:val="bottom"/>
            <w:vMerge w:val="restart"/>
          </w:tcPr>
          <w:p>
            <w:pPr>
              <w:jc w:val="center"/>
              <w:spacing w:after="0" w:line="159" w:lineRule="exact"/>
              <w:rPr>
                <w:sz w:val="20"/>
                <w:szCs w:val="20"/>
                <w:color w:val="auto"/>
              </w:rPr>
            </w:pPr>
            <w:r>
              <w:rPr>
                <w:rFonts w:ascii="Arial" w:cs="Arial" w:eastAsia="Arial" w:hAnsi="Arial"/>
                <w:sz w:val="14"/>
                <w:szCs w:val="14"/>
                <w:b w:val="1"/>
                <w:bCs w:val="1"/>
                <w:color w:val="FFFFFF"/>
              </w:rPr>
              <w:t>Have Not</w:t>
            </w:r>
          </w:p>
        </w:tc>
        <w:tc>
          <w:tcPr>
            <w:tcW w:w="1980" w:type="dxa"/>
            <w:vAlign w:val="bottom"/>
            <w:vMerge w:val="restart"/>
          </w:tcPr>
          <w:p>
            <w:pPr>
              <w:jc w:val="center"/>
              <w:spacing w:after="0" w:line="159" w:lineRule="exact"/>
              <w:rPr>
                <w:sz w:val="20"/>
                <w:szCs w:val="20"/>
                <w:color w:val="auto"/>
              </w:rPr>
            </w:pPr>
            <w:r>
              <w:rPr>
                <w:rFonts w:ascii="Arial" w:cs="Arial" w:eastAsia="Arial" w:hAnsi="Arial"/>
                <w:sz w:val="14"/>
                <w:szCs w:val="14"/>
                <w:b w:val="1"/>
                <w:bCs w:val="1"/>
                <w:color w:val="FFFFFF"/>
              </w:rPr>
              <w:t>or Other</w:t>
            </w: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1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00" w:type="dxa"/>
            <w:vAlign w:val="bottom"/>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or Other</w:t>
            </w:r>
          </w:p>
        </w:tc>
        <w:tc>
          <w:tcPr>
            <w:tcW w:w="0" w:type="dxa"/>
            <w:vAlign w:val="bottom"/>
          </w:tcPr>
          <w:p>
            <w:pPr>
              <w:spacing w:after="0"/>
              <w:rPr>
                <w:sz w:val="1"/>
                <w:szCs w:val="1"/>
                <w:color w:val="auto"/>
              </w:rPr>
            </w:pPr>
          </w:p>
        </w:tc>
      </w:tr>
      <w:tr>
        <w:trPr>
          <w:trHeight w:val="84"/>
        </w:trPr>
        <w:tc>
          <w:tcPr>
            <w:tcW w:w="1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FFFFFF"/>
              </w:rPr>
              <w:t>Vested (#)</w:t>
            </w:r>
          </w:p>
        </w:tc>
        <w:tc>
          <w:tcPr>
            <w:tcW w:w="700" w:type="dxa"/>
            <w:vAlign w:val="bottom"/>
          </w:tcPr>
          <w:p>
            <w:pPr>
              <w:spacing w:after="0"/>
              <w:rPr>
                <w:sz w:val="7"/>
                <w:szCs w:val="7"/>
                <w:color w:val="auto"/>
              </w:rPr>
            </w:pPr>
          </w:p>
        </w:tc>
        <w:tc>
          <w:tcPr>
            <w:tcW w:w="2000" w:type="dxa"/>
            <w:vAlign w:val="bottom"/>
            <w:vMerge w:val="restart"/>
          </w:tcPr>
          <w:p>
            <w:pPr>
              <w:jc w:val="center"/>
              <w:spacing w:after="0" w:line="165" w:lineRule="exact"/>
              <w:rPr>
                <w:sz w:val="20"/>
                <w:szCs w:val="20"/>
                <w:color w:val="auto"/>
              </w:rPr>
            </w:pPr>
            <w:r>
              <w:rPr>
                <w:rFonts w:ascii="Arial" w:cs="Arial" w:eastAsia="Arial" w:hAnsi="Arial"/>
                <w:sz w:val="12"/>
                <w:szCs w:val="12"/>
                <w:b w:val="1"/>
                <w:bCs w:val="1"/>
                <w:color w:val="FFFFFF"/>
              </w:rPr>
              <w:t xml:space="preserve">Vested ($) </w:t>
            </w:r>
            <w:r>
              <w:rPr>
                <w:rFonts w:ascii="Arial" w:cs="Arial" w:eastAsia="Arial" w:hAnsi="Arial"/>
                <w:sz w:val="19"/>
                <w:szCs w:val="19"/>
                <w:b w:val="1"/>
                <w:bCs w:val="1"/>
                <w:color w:val="FFFFFF"/>
                <w:vertAlign w:val="superscript"/>
              </w:rPr>
              <w:t>(2)</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Rights That</w:t>
            </w: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1980" w:type="dxa"/>
            <w:vAlign w:val="bottom"/>
            <w:vMerge w:val="continue"/>
          </w:tcPr>
          <w:p>
            <w:pPr>
              <w:spacing w:after="0"/>
              <w:rPr>
                <w:sz w:val="7"/>
                <w:szCs w:val="7"/>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Rights That</w:t>
            </w: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980" w:type="dxa"/>
            <w:vAlign w:val="bottom"/>
            <w:vMerge w:val="restart"/>
          </w:tcPr>
          <w:p>
            <w:pPr>
              <w:jc w:val="center"/>
              <w:spacing w:after="0" w:line="159" w:lineRule="exact"/>
              <w:rPr>
                <w:sz w:val="20"/>
                <w:szCs w:val="20"/>
                <w:color w:val="auto"/>
              </w:rPr>
            </w:pPr>
            <w:r>
              <w:rPr>
                <w:rFonts w:ascii="Arial" w:cs="Arial" w:eastAsia="Arial" w:hAnsi="Arial"/>
                <w:sz w:val="14"/>
                <w:szCs w:val="14"/>
                <w:b w:val="1"/>
                <w:bCs w:val="1"/>
                <w:color w:val="FFFFFF"/>
              </w:rPr>
              <w:t>Have Not</w:t>
            </w: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1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980" w:type="dxa"/>
            <w:vAlign w:val="bottom"/>
            <w:vMerge w:val="continue"/>
          </w:tcPr>
          <w:p>
            <w:pPr>
              <w:spacing w:after="0"/>
              <w:rPr>
                <w:sz w:val="6"/>
                <w:szCs w:val="6"/>
                <w:color w:val="auto"/>
              </w:rPr>
            </w:pPr>
          </w:p>
        </w:tc>
        <w:tc>
          <w:tcPr>
            <w:tcW w:w="2000" w:type="dxa"/>
            <w:vAlign w:val="bottom"/>
            <w:vMerge w:val="restart"/>
          </w:tcPr>
          <w:p>
            <w:pPr>
              <w:jc w:val="center"/>
              <w:spacing w:after="0" w:line="159" w:lineRule="exact"/>
              <w:rPr>
                <w:sz w:val="20"/>
                <w:szCs w:val="20"/>
                <w:color w:val="auto"/>
              </w:rPr>
            </w:pPr>
            <w:r>
              <w:rPr>
                <w:rFonts w:ascii="Arial" w:cs="Arial" w:eastAsia="Arial" w:hAnsi="Arial"/>
                <w:sz w:val="14"/>
                <w:szCs w:val="14"/>
                <w:b w:val="1"/>
                <w:bCs w:val="1"/>
                <w:color w:val="FFFFFF"/>
              </w:rPr>
              <w:t>Have Not</w:t>
            </w: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980" w:type="dxa"/>
            <w:vAlign w:val="bottom"/>
            <w:vMerge w:val="restart"/>
          </w:tcPr>
          <w:p>
            <w:pPr>
              <w:jc w:val="center"/>
              <w:spacing w:after="0" w:line="229" w:lineRule="exact"/>
              <w:rPr>
                <w:sz w:val="20"/>
                <w:szCs w:val="20"/>
                <w:color w:val="auto"/>
              </w:rPr>
            </w:pPr>
            <w:r>
              <w:rPr>
                <w:rFonts w:ascii="Arial" w:cs="Arial" w:eastAsia="Arial" w:hAnsi="Arial"/>
                <w:sz w:val="14"/>
                <w:szCs w:val="14"/>
                <w:b w:val="1"/>
                <w:bCs w:val="1"/>
                <w:color w:val="FFFFFF"/>
                <w:w w:val="95"/>
              </w:rPr>
              <w:t xml:space="preserve">Vested (#) </w:t>
            </w:r>
            <w:r>
              <w:rPr>
                <w:rFonts w:ascii="Arial" w:cs="Arial" w:eastAsia="Arial" w:hAnsi="Arial"/>
                <w:sz w:val="23"/>
                <w:szCs w:val="23"/>
                <w:b w:val="1"/>
                <w:bCs w:val="1"/>
                <w:color w:val="FFFFFF"/>
                <w:w w:val="95"/>
                <w:vertAlign w:val="superscript"/>
              </w:rPr>
              <w:t>(3)</w:t>
            </w: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2000" w:type="dxa"/>
            <w:vAlign w:val="bottom"/>
            <w:vMerge w:val="restart"/>
          </w:tcPr>
          <w:p>
            <w:pPr>
              <w:jc w:val="center"/>
              <w:spacing w:after="0" w:line="175" w:lineRule="exact"/>
              <w:rPr>
                <w:sz w:val="20"/>
                <w:szCs w:val="20"/>
                <w:color w:val="auto"/>
              </w:rPr>
            </w:pPr>
            <w:r>
              <w:rPr>
                <w:rFonts w:ascii="Arial" w:cs="Arial" w:eastAsia="Arial" w:hAnsi="Arial"/>
                <w:sz w:val="13"/>
                <w:szCs w:val="13"/>
                <w:b w:val="1"/>
                <w:bCs w:val="1"/>
                <w:color w:val="FFFFFF"/>
              </w:rPr>
              <w:t xml:space="preserve">Vested ($) </w:t>
            </w:r>
            <w:r>
              <w:rPr>
                <w:rFonts w:ascii="Arial" w:cs="Arial" w:eastAsia="Arial" w:hAnsi="Arial"/>
                <w:sz w:val="20"/>
                <w:szCs w:val="20"/>
                <w:b w:val="1"/>
                <w:bCs w:val="1"/>
                <w:color w:val="FFFFFF"/>
                <w:vertAlign w:val="superscript"/>
              </w:rPr>
              <w:t>(4)</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1680" w:type="dxa"/>
            <w:vAlign w:val="bottom"/>
            <w:tcBorders>
              <w:right w:val="single" w:sz="8" w:color="0033A0"/>
            </w:tcBorders>
          </w:tcPr>
          <w:p>
            <w:pPr>
              <w:jc w:val="center"/>
              <w:spacing w:after="0" w:line="143" w:lineRule="exact"/>
              <w:rPr>
                <w:sz w:val="20"/>
                <w:szCs w:val="20"/>
                <w:color w:val="auto"/>
              </w:rPr>
            </w:pPr>
            <w:r>
              <w:rPr>
                <w:rFonts w:ascii="Arial" w:cs="Arial" w:eastAsia="Arial" w:hAnsi="Arial"/>
                <w:sz w:val="14"/>
                <w:szCs w:val="14"/>
                <w:color w:val="auto"/>
              </w:rPr>
              <w:t>3/15/2021</w:t>
            </w: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tcBorders>
              <w:right w:val="single" w:sz="8" w:color="0033A0"/>
            </w:tcBorders>
          </w:tcPr>
          <w:p>
            <w:pPr>
              <w:jc w:val="right"/>
              <w:ind w:right="1"/>
              <w:spacing w:after="0" w:line="143" w:lineRule="exact"/>
              <w:rPr>
                <w:sz w:val="20"/>
                <w:szCs w:val="20"/>
                <w:color w:val="auto"/>
              </w:rPr>
            </w:pPr>
            <w:r>
              <w:rPr>
                <w:rFonts w:ascii="Arial" w:cs="Arial" w:eastAsia="Arial" w:hAnsi="Arial"/>
                <w:sz w:val="11"/>
                <w:szCs w:val="11"/>
                <w:color w:val="auto"/>
              </w:rPr>
              <w:t>7,151</w:t>
            </w:r>
            <w:r>
              <w:rPr>
                <w:rFonts w:ascii="Arial" w:cs="Arial" w:eastAsia="Arial" w:hAnsi="Arial"/>
                <w:sz w:val="16"/>
                <w:szCs w:val="16"/>
                <w:color w:val="auto"/>
                <w:vertAlign w:val="superscript"/>
              </w:rPr>
              <w:t>(1)</w:t>
            </w:r>
          </w:p>
        </w:tc>
        <w:tc>
          <w:tcPr>
            <w:tcW w:w="2000" w:type="dxa"/>
            <w:vAlign w:val="bottom"/>
            <w:tcBorders>
              <w:right w:val="single" w:sz="8" w:color="0033A0"/>
            </w:tcBorders>
          </w:tcPr>
          <w:p>
            <w:pPr>
              <w:jc w:val="right"/>
              <w:ind w:right="48"/>
              <w:spacing w:after="0" w:line="143" w:lineRule="exact"/>
              <w:rPr>
                <w:sz w:val="20"/>
                <w:szCs w:val="20"/>
                <w:color w:val="auto"/>
              </w:rPr>
            </w:pPr>
            <w:r>
              <w:rPr>
                <w:rFonts w:ascii="Arial" w:cs="Arial" w:eastAsia="Arial" w:hAnsi="Arial"/>
                <w:sz w:val="14"/>
                <w:szCs w:val="14"/>
                <w:color w:val="auto"/>
              </w:rPr>
              <w:t>191,861</w:t>
            </w:r>
          </w:p>
        </w:tc>
        <w:tc>
          <w:tcPr>
            <w:tcW w:w="1980" w:type="dxa"/>
            <w:vAlign w:val="bottom"/>
            <w:tcBorders>
              <w:right w:val="single" w:sz="8" w:color="0033A0"/>
            </w:tcBorders>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2000" w:type="dxa"/>
            <w:vAlign w:val="bottom"/>
            <w:tcBorders>
              <w:right w:val="single" w:sz="8" w:color="0033A0"/>
            </w:tcBorders>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680" w:type="dxa"/>
            <w:vAlign w:val="bottom"/>
            <w:tcBorders>
              <w:right w:val="single" w:sz="8" w:color="0033A0"/>
            </w:tcBorders>
          </w:tcPr>
          <w:p>
            <w:pPr>
              <w:jc w:val="center"/>
              <w:spacing w:after="0"/>
              <w:rPr>
                <w:sz w:val="20"/>
                <w:szCs w:val="20"/>
                <w:color w:val="auto"/>
              </w:rPr>
            </w:pPr>
            <w:r>
              <w:rPr>
                <w:rFonts w:ascii="Arial" w:cs="Arial" w:eastAsia="Arial" w:hAnsi="Arial"/>
                <w:sz w:val="14"/>
                <w:szCs w:val="14"/>
                <w:color w:val="auto"/>
              </w:rPr>
              <w:t>3/14/2022</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Borders>
              <w:right w:val="single" w:sz="8" w:color="0033A0"/>
            </w:tcBorders>
          </w:tcPr>
          <w:p>
            <w:pPr>
              <w:jc w:val="right"/>
              <w:ind w:right="1"/>
              <w:spacing w:after="0" w:line="162" w:lineRule="exact"/>
              <w:rPr>
                <w:sz w:val="20"/>
                <w:szCs w:val="20"/>
                <w:color w:val="auto"/>
              </w:rPr>
            </w:pPr>
            <w:r>
              <w:rPr>
                <w:rFonts w:ascii="Arial" w:cs="Arial" w:eastAsia="Arial" w:hAnsi="Arial"/>
                <w:sz w:val="12"/>
                <w:szCs w:val="12"/>
                <w:color w:val="auto"/>
              </w:rPr>
              <w:t>27,422</w:t>
            </w:r>
            <w:r>
              <w:rPr>
                <w:rFonts w:ascii="Arial" w:cs="Arial" w:eastAsia="Arial" w:hAnsi="Arial"/>
                <w:sz w:val="18"/>
                <w:szCs w:val="18"/>
                <w:color w:val="auto"/>
                <w:vertAlign w:val="superscript"/>
              </w:rPr>
              <w:t>(1)</w:t>
            </w:r>
          </w:p>
        </w:tc>
        <w:tc>
          <w:tcPr>
            <w:tcW w:w="2000" w:type="dxa"/>
            <w:vAlign w:val="bottom"/>
            <w:tcBorders>
              <w:right w:val="single" w:sz="8" w:color="0033A0"/>
            </w:tcBorders>
          </w:tcPr>
          <w:p>
            <w:pPr>
              <w:jc w:val="right"/>
              <w:ind w:right="48"/>
              <w:spacing w:after="0"/>
              <w:rPr>
                <w:sz w:val="20"/>
                <w:szCs w:val="20"/>
                <w:color w:val="auto"/>
              </w:rPr>
            </w:pPr>
            <w:r>
              <w:rPr>
                <w:rFonts w:ascii="Arial" w:cs="Arial" w:eastAsia="Arial" w:hAnsi="Arial"/>
                <w:sz w:val="14"/>
                <w:szCs w:val="14"/>
                <w:color w:val="auto"/>
              </w:rPr>
              <w:t>735,732</w:t>
            </w:r>
          </w:p>
        </w:tc>
        <w:tc>
          <w:tcPr>
            <w:tcW w:w="1980" w:type="dxa"/>
            <w:vAlign w:val="bottom"/>
            <w:tcBorders>
              <w:right w:val="single" w:sz="8" w:color="0033A0"/>
            </w:tcBorders>
          </w:tcPr>
          <w:p>
            <w:pPr>
              <w:jc w:val="right"/>
              <w:ind w:right="28"/>
              <w:spacing w:after="0"/>
              <w:rPr>
                <w:sz w:val="20"/>
                <w:szCs w:val="20"/>
                <w:color w:val="auto"/>
              </w:rPr>
            </w:pPr>
            <w:r>
              <w:rPr>
                <w:rFonts w:ascii="Arial" w:cs="Arial" w:eastAsia="Arial" w:hAnsi="Arial"/>
                <w:sz w:val="14"/>
                <w:szCs w:val="14"/>
                <w:color w:val="auto"/>
              </w:rPr>
              <w:t>54,844</w:t>
            </w:r>
          </w:p>
        </w:tc>
        <w:tc>
          <w:tcPr>
            <w:tcW w:w="2000" w:type="dxa"/>
            <w:vAlign w:val="bottom"/>
            <w:tcBorders>
              <w:right w:val="single" w:sz="8" w:color="0033A0"/>
            </w:tcBorders>
          </w:tcPr>
          <w:p>
            <w:pPr>
              <w:jc w:val="right"/>
              <w:ind w:right="28"/>
              <w:spacing w:after="0"/>
              <w:rPr>
                <w:sz w:val="20"/>
                <w:szCs w:val="20"/>
                <w:color w:val="auto"/>
              </w:rPr>
            </w:pPr>
            <w:r>
              <w:rPr>
                <w:rFonts w:ascii="Arial" w:cs="Arial" w:eastAsia="Arial" w:hAnsi="Arial"/>
                <w:sz w:val="14"/>
                <w:szCs w:val="14"/>
                <w:color w:val="auto"/>
              </w:rPr>
              <w:t>1,471,465</w:t>
            </w:r>
          </w:p>
        </w:tc>
        <w:tc>
          <w:tcPr>
            <w:tcW w:w="0" w:type="dxa"/>
            <w:vAlign w:val="bottom"/>
          </w:tcPr>
          <w:p>
            <w:pPr>
              <w:spacing w:after="0"/>
              <w:rPr>
                <w:sz w:val="1"/>
                <w:szCs w:val="1"/>
                <w:color w:val="auto"/>
              </w:rPr>
            </w:pPr>
          </w:p>
        </w:tc>
      </w:tr>
      <w:tr>
        <w:trPr>
          <w:trHeight w:val="162"/>
        </w:trPr>
        <w:tc>
          <w:tcPr>
            <w:tcW w:w="1680" w:type="dxa"/>
            <w:vAlign w:val="bottom"/>
            <w:tcBorders>
              <w:right w:val="single" w:sz="8" w:color="0033A0"/>
            </w:tcBorders>
          </w:tcPr>
          <w:p>
            <w:pPr>
              <w:jc w:val="center"/>
              <w:spacing w:after="0"/>
              <w:rPr>
                <w:sz w:val="20"/>
                <w:szCs w:val="20"/>
                <w:color w:val="auto"/>
              </w:rPr>
            </w:pPr>
            <w:r>
              <w:rPr>
                <w:rFonts w:ascii="Arial" w:cs="Arial" w:eastAsia="Arial" w:hAnsi="Arial"/>
                <w:sz w:val="14"/>
                <w:szCs w:val="14"/>
                <w:color w:val="auto"/>
              </w:rPr>
              <w:t>3/14/2023</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Borders>
              <w:right w:val="single" w:sz="8" w:color="0033A0"/>
            </w:tcBorders>
          </w:tcPr>
          <w:p>
            <w:pPr>
              <w:jc w:val="right"/>
              <w:ind w:right="1"/>
              <w:spacing w:after="0" w:line="162" w:lineRule="exact"/>
              <w:rPr>
                <w:sz w:val="20"/>
                <w:szCs w:val="20"/>
                <w:color w:val="auto"/>
              </w:rPr>
            </w:pPr>
            <w:r>
              <w:rPr>
                <w:rFonts w:ascii="Arial" w:cs="Arial" w:eastAsia="Arial" w:hAnsi="Arial"/>
                <w:sz w:val="12"/>
                <w:szCs w:val="12"/>
                <w:color w:val="auto"/>
              </w:rPr>
              <w:t>33,003</w:t>
            </w:r>
            <w:r>
              <w:rPr>
                <w:rFonts w:ascii="Arial" w:cs="Arial" w:eastAsia="Arial" w:hAnsi="Arial"/>
                <w:sz w:val="18"/>
                <w:szCs w:val="18"/>
                <w:color w:val="auto"/>
                <w:vertAlign w:val="superscript"/>
              </w:rPr>
              <w:t>(1)</w:t>
            </w:r>
          </w:p>
        </w:tc>
        <w:tc>
          <w:tcPr>
            <w:tcW w:w="2000" w:type="dxa"/>
            <w:vAlign w:val="bottom"/>
            <w:tcBorders>
              <w:right w:val="single" w:sz="8" w:color="0033A0"/>
            </w:tcBorders>
          </w:tcPr>
          <w:p>
            <w:pPr>
              <w:jc w:val="right"/>
              <w:ind w:right="48"/>
              <w:spacing w:after="0"/>
              <w:rPr>
                <w:sz w:val="20"/>
                <w:szCs w:val="20"/>
                <w:color w:val="auto"/>
              </w:rPr>
            </w:pPr>
            <w:r>
              <w:rPr>
                <w:rFonts w:ascii="Arial" w:cs="Arial" w:eastAsia="Arial" w:hAnsi="Arial"/>
                <w:sz w:val="14"/>
                <w:szCs w:val="14"/>
                <w:color w:val="auto"/>
              </w:rPr>
              <w:t>885,470</w:t>
            </w:r>
          </w:p>
        </w:tc>
        <w:tc>
          <w:tcPr>
            <w:tcW w:w="1980" w:type="dxa"/>
            <w:vAlign w:val="bottom"/>
            <w:tcBorders>
              <w:right w:val="single" w:sz="8" w:color="0033A0"/>
            </w:tcBorders>
          </w:tcPr>
          <w:p>
            <w:pPr>
              <w:jc w:val="right"/>
              <w:ind w:right="28"/>
              <w:spacing w:after="0"/>
              <w:rPr>
                <w:sz w:val="20"/>
                <w:szCs w:val="20"/>
                <w:color w:val="auto"/>
              </w:rPr>
            </w:pPr>
            <w:r>
              <w:rPr>
                <w:rFonts w:ascii="Arial" w:cs="Arial" w:eastAsia="Arial" w:hAnsi="Arial"/>
                <w:sz w:val="14"/>
                <w:szCs w:val="14"/>
                <w:color w:val="auto"/>
              </w:rPr>
              <w:t>66,006</w:t>
            </w:r>
          </w:p>
        </w:tc>
        <w:tc>
          <w:tcPr>
            <w:tcW w:w="2000" w:type="dxa"/>
            <w:vAlign w:val="bottom"/>
            <w:tcBorders>
              <w:right w:val="single" w:sz="8" w:color="0033A0"/>
            </w:tcBorders>
          </w:tcPr>
          <w:p>
            <w:pPr>
              <w:jc w:val="right"/>
              <w:ind w:right="28"/>
              <w:spacing w:after="0"/>
              <w:rPr>
                <w:sz w:val="20"/>
                <w:szCs w:val="20"/>
                <w:color w:val="auto"/>
              </w:rPr>
            </w:pPr>
            <w:r>
              <w:rPr>
                <w:rFonts w:ascii="Arial" w:cs="Arial" w:eastAsia="Arial" w:hAnsi="Arial"/>
                <w:sz w:val="14"/>
                <w:szCs w:val="14"/>
                <w:color w:val="auto"/>
              </w:rPr>
              <w:t>1,770,941</w:t>
            </w:r>
          </w:p>
        </w:tc>
        <w:tc>
          <w:tcPr>
            <w:tcW w:w="0" w:type="dxa"/>
            <w:vAlign w:val="bottom"/>
          </w:tcPr>
          <w:p>
            <w:pPr>
              <w:spacing w:after="0"/>
              <w:rPr>
                <w:sz w:val="1"/>
                <w:szCs w:val="1"/>
                <w:color w:val="auto"/>
              </w:rPr>
            </w:pPr>
          </w:p>
        </w:tc>
      </w:tr>
      <w:tr>
        <w:trPr>
          <w:trHeight w:val="174"/>
        </w:trPr>
        <w:tc>
          <w:tcPr>
            <w:tcW w:w="1680" w:type="dxa"/>
            <w:vAlign w:val="bottom"/>
            <w:tcBorders>
              <w:bottom w:val="single" w:sz="8" w:color="0033A0"/>
              <w:right w:val="single" w:sz="8" w:color="0033A0"/>
            </w:tcBorders>
          </w:tcPr>
          <w:p>
            <w:pPr>
              <w:jc w:val="center"/>
              <w:spacing w:after="0"/>
              <w:rPr>
                <w:sz w:val="20"/>
                <w:szCs w:val="20"/>
                <w:color w:val="auto"/>
              </w:rPr>
            </w:pPr>
            <w:r>
              <w:rPr>
                <w:rFonts w:ascii="Arial" w:cs="Arial" w:eastAsia="Arial" w:hAnsi="Arial"/>
                <w:sz w:val="14"/>
                <w:szCs w:val="14"/>
                <w:color w:val="auto"/>
              </w:rPr>
              <w:t>3/12/2024</w:t>
            </w:r>
          </w:p>
        </w:tc>
        <w:tc>
          <w:tcPr>
            <w:tcW w:w="200" w:type="dxa"/>
            <w:vAlign w:val="bottom"/>
            <w:tcBorders>
              <w:bottom w:val="single" w:sz="8" w:color="0033A0"/>
            </w:tcBorders>
          </w:tcPr>
          <w:p>
            <w:pPr>
              <w:spacing w:after="0"/>
              <w:rPr>
                <w:sz w:val="15"/>
                <w:szCs w:val="15"/>
                <w:color w:val="auto"/>
              </w:rPr>
            </w:pPr>
          </w:p>
        </w:tc>
        <w:tc>
          <w:tcPr>
            <w:tcW w:w="1200" w:type="dxa"/>
            <w:vAlign w:val="bottom"/>
            <w:tcBorders>
              <w:bottom w:val="single" w:sz="8" w:color="0033A0"/>
            </w:tcBorders>
          </w:tcPr>
          <w:p>
            <w:pPr>
              <w:spacing w:after="0"/>
              <w:rPr>
                <w:sz w:val="15"/>
                <w:szCs w:val="15"/>
                <w:color w:val="auto"/>
              </w:rPr>
            </w:pPr>
          </w:p>
        </w:tc>
        <w:tc>
          <w:tcPr>
            <w:tcW w:w="700" w:type="dxa"/>
            <w:vAlign w:val="bottom"/>
            <w:tcBorders>
              <w:bottom w:val="single" w:sz="8" w:color="0033A0"/>
              <w:right w:val="single" w:sz="8" w:color="0033A0"/>
            </w:tcBorders>
          </w:tcPr>
          <w:p>
            <w:pPr>
              <w:jc w:val="right"/>
              <w:ind w:right="1"/>
              <w:spacing w:after="0" w:line="175" w:lineRule="exact"/>
              <w:rPr>
                <w:sz w:val="20"/>
                <w:szCs w:val="20"/>
                <w:color w:val="auto"/>
              </w:rPr>
            </w:pPr>
            <w:r>
              <w:rPr>
                <w:rFonts w:ascii="Arial" w:cs="Arial" w:eastAsia="Arial" w:hAnsi="Arial"/>
                <w:sz w:val="13"/>
                <w:szCs w:val="13"/>
                <w:color w:val="auto"/>
              </w:rPr>
              <w:t>49,443</w:t>
            </w:r>
            <w:r>
              <w:rPr>
                <w:rFonts w:ascii="Arial" w:cs="Arial" w:eastAsia="Arial" w:hAnsi="Arial"/>
                <w:sz w:val="20"/>
                <w:szCs w:val="20"/>
                <w:color w:val="auto"/>
                <w:vertAlign w:val="superscript"/>
              </w:rPr>
              <w:t>(1)</w:t>
            </w:r>
          </w:p>
        </w:tc>
        <w:tc>
          <w:tcPr>
            <w:tcW w:w="2000" w:type="dxa"/>
            <w:vAlign w:val="bottom"/>
            <w:tcBorders>
              <w:bottom w:val="single" w:sz="8" w:color="0033A0"/>
              <w:right w:val="single" w:sz="8" w:color="0033A0"/>
            </w:tcBorders>
          </w:tcPr>
          <w:p>
            <w:pPr>
              <w:jc w:val="right"/>
              <w:ind w:right="48"/>
              <w:spacing w:after="0"/>
              <w:rPr>
                <w:sz w:val="20"/>
                <w:szCs w:val="20"/>
                <w:color w:val="auto"/>
              </w:rPr>
            </w:pPr>
            <w:r>
              <w:rPr>
                <w:rFonts w:ascii="Arial" w:cs="Arial" w:eastAsia="Arial" w:hAnsi="Arial"/>
                <w:sz w:val="14"/>
                <w:szCs w:val="14"/>
                <w:color w:val="auto"/>
              </w:rPr>
              <w:t>1,326,556</w:t>
            </w:r>
          </w:p>
        </w:tc>
        <w:tc>
          <w:tcPr>
            <w:tcW w:w="1980" w:type="dxa"/>
            <w:vAlign w:val="bottom"/>
            <w:tcBorders>
              <w:bottom w:val="single" w:sz="8" w:color="0033A0"/>
              <w:right w:val="single" w:sz="8" w:color="0033A0"/>
            </w:tcBorders>
          </w:tcPr>
          <w:p>
            <w:pPr>
              <w:jc w:val="right"/>
              <w:ind w:right="28"/>
              <w:spacing w:after="0"/>
              <w:rPr>
                <w:sz w:val="20"/>
                <w:szCs w:val="20"/>
                <w:color w:val="auto"/>
              </w:rPr>
            </w:pPr>
            <w:r>
              <w:rPr>
                <w:rFonts w:ascii="Arial" w:cs="Arial" w:eastAsia="Arial" w:hAnsi="Arial"/>
                <w:sz w:val="14"/>
                <w:szCs w:val="14"/>
                <w:color w:val="auto"/>
              </w:rPr>
              <w:t>74,165</w:t>
            </w:r>
          </w:p>
        </w:tc>
        <w:tc>
          <w:tcPr>
            <w:tcW w:w="2000" w:type="dxa"/>
            <w:vAlign w:val="bottom"/>
            <w:tcBorders>
              <w:bottom w:val="single" w:sz="8" w:color="0033A0"/>
              <w:right w:val="single" w:sz="8" w:color="0033A0"/>
            </w:tcBorders>
          </w:tcPr>
          <w:p>
            <w:pPr>
              <w:jc w:val="right"/>
              <w:ind w:right="28"/>
              <w:spacing w:after="0"/>
              <w:rPr>
                <w:sz w:val="20"/>
                <w:szCs w:val="20"/>
                <w:color w:val="auto"/>
              </w:rPr>
            </w:pPr>
            <w:r>
              <w:rPr>
                <w:rFonts w:ascii="Arial" w:cs="Arial" w:eastAsia="Arial" w:hAnsi="Arial"/>
                <w:sz w:val="14"/>
                <w:szCs w:val="14"/>
                <w:color w:val="auto"/>
              </w:rPr>
              <w:t>1,989,847</w:t>
            </w:r>
          </w:p>
        </w:tc>
        <w:tc>
          <w:tcPr>
            <w:tcW w:w="0" w:type="dxa"/>
            <w:vAlign w:val="bottom"/>
          </w:tcPr>
          <w:p>
            <w:pPr>
              <w:spacing w:after="0"/>
              <w:rPr>
                <w:sz w:val="1"/>
                <w:szCs w:val="1"/>
                <w:color w:val="auto"/>
              </w:rPr>
            </w:pPr>
          </w:p>
        </w:tc>
      </w:tr>
      <w:tr>
        <w:trPr>
          <w:trHeight w:val="155"/>
        </w:trPr>
        <w:tc>
          <w:tcPr>
            <w:tcW w:w="1680" w:type="dxa"/>
            <w:vAlign w:val="bottom"/>
            <w:tcBorders>
              <w:right w:val="single" w:sz="8" w:color="0033A0"/>
            </w:tcBorders>
            <w:shd w:val="clear" w:color="auto" w:fill="E6E6E6"/>
          </w:tcPr>
          <w:p>
            <w:pPr>
              <w:jc w:val="center"/>
              <w:spacing w:after="0" w:line="149" w:lineRule="exact"/>
              <w:rPr>
                <w:sz w:val="20"/>
                <w:szCs w:val="20"/>
                <w:color w:val="auto"/>
              </w:rPr>
            </w:pPr>
            <w:r>
              <w:rPr>
                <w:rFonts w:ascii="Arial" w:cs="Arial" w:eastAsia="Arial" w:hAnsi="Arial"/>
                <w:sz w:val="14"/>
                <w:szCs w:val="14"/>
                <w:color w:val="auto"/>
              </w:rPr>
              <w:t>3/15/2021</w:t>
            </w:r>
          </w:p>
        </w:tc>
        <w:tc>
          <w:tcPr>
            <w:tcW w:w="200" w:type="dxa"/>
            <w:vAlign w:val="bottom"/>
            <w:shd w:val="clear" w:color="auto" w:fill="E6E6E6"/>
          </w:tcPr>
          <w:p>
            <w:pPr>
              <w:spacing w:after="0"/>
              <w:rPr>
                <w:sz w:val="13"/>
                <w:szCs w:val="13"/>
                <w:color w:val="auto"/>
              </w:rPr>
            </w:pPr>
          </w:p>
        </w:tc>
        <w:tc>
          <w:tcPr>
            <w:tcW w:w="1200" w:type="dxa"/>
            <w:vAlign w:val="bottom"/>
            <w:shd w:val="clear" w:color="auto" w:fill="E6E6E6"/>
          </w:tcPr>
          <w:p>
            <w:pPr>
              <w:spacing w:after="0"/>
              <w:rPr>
                <w:sz w:val="13"/>
                <w:szCs w:val="13"/>
                <w:color w:val="auto"/>
              </w:rPr>
            </w:pPr>
          </w:p>
        </w:tc>
        <w:tc>
          <w:tcPr>
            <w:tcW w:w="700" w:type="dxa"/>
            <w:vAlign w:val="bottom"/>
            <w:tcBorders>
              <w:right w:val="single" w:sz="8" w:color="0033A0"/>
            </w:tcBorders>
            <w:shd w:val="clear" w:color="auto" w:fill="E6E6E6"/>
          </w:tcPr>
          <w:p>
            <w:pPr>
              <w:jc w:val="right"/>
              <w:ind w:right="1"/>
              <w:spacing w:after="0" w:line="150" w:lineRule="exact"/>
              <w:rPr>
                <w:sz w:val="20"/>
                <w:szCs w:val="20"/>
                <w:color w:val="auto"/>
              </w:rPr>
            </w:pPr>
            <w:r>
              <w:rPr>
                <w:rFonts w:ascii="Arial" w:cs="Arial" w:eastAsia="Arial" w:hAnsi="Arial"/>
                <w:sz w:val="11"/>
                <w:szCs w:val="11"/>
                <w:color w:val="auto"/>
              </w:rPr>
              <w:t>2,345</w:t>
            </w:r>
            <w:r>
              <w:rPr>
                <w:rFonts w:ascii="Arial" w:cs="Arial" w:eastAsia="Arial" w:hAnsi="Arial"/>
                <w:sz w:val="17"/>
                <w:szCs w:val="17"/>
                <w:color w:val="auto"/>
                <w:vertAlign w:val="superscript"/>
              </w:rPr>
              <w:t>(1)</w:t>
            </w:r>
          </w:p>
        </w:tc>
        <w:tc>
          <w:tcPr>
            <w:tcW w:w="2000" w:type="dxa"/>
            <w:vAlign w:val="bottom"/>
            <w:tcBorders>
              <w:right w:val="single" w:sz="8" w:color="0033A0"/>
            </w:tcBorders>
            <w:shd w:val="clear" w:color="auto" w:fill="E6E6E6"/>
          </w:tcPr>
          <w:p>
            <w:pPr>
              <w:jc w:val="right"/>
              <w:ind w:right="48"/>
              <w:spacing w:after="0" w:line="149" w:lineRule="exact"/>
              <w:rPr>
                <w:sz w:val="20"/>
                <w:szCs w:val="20"/>
                <w:color w:val="auto"/>
              </w:rPr>
            </w:pPr>
            <w:r>
              <w:rPr>
                <w:rFonts w:ascii="Arial" w:cs="Arial" w:eastAsia="Arial" w:hAnsi="Arial"/>
                <w:sz w:val="14"/>
                <w:szCs w:val="14"/>
                <w:color w:val="auto"/>
              </w:rPr>
              <w:t>62,916</w:t>
            </w:r>
          </w:p>
        </w:tc>
        <w:tc>
          <w:tcPr>
            <w:tcW w:w="1980" w:type="dxa"/>
            <w:vAlign w:val="bottom"/>
            <w:tcBorders>
              <w:right w:val="single" w:sz="8" w:color="0033A0"/>
            </w:tcBorders>
            <w:shd w:val="clear" w:color="auto" w:fill="E6E6E6"/>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000" w:type="dxa"/>
            <w:vAlign w:val="bottom"/>
            <w:tcBorders>
              <w:right w:val="single" w:sz="8" w:color="0033A0"/>
            </w:tcBorders>
            <w:shd w:val="clear" w:color="auto" w:fill="E6E6E6"/>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1680" w:type="dxa"/>
            <w:vAlign w:val="bottom"/>
            <w:tcBorders>
              <w:right w:val="single" w:sz="8" w:color="0033A0"/>
            </w:tcBorders>
          </w:tcPr>
          <w:p>
            <w:pPr>
              <w:jc w:val="center"/>
              <w:spacing w:after="0" w:line="149" w:lineRule="exact"/>
              <w:rPr>
                <w:sz w:val="20"/>
                <w:szCs w:val="20"/>
                <w:color w:val="auto"/>
              </w:rPr>
            </w:pPr>
            <w:r>
              <w:rPr>
                <w:rFonts w:ascii="Arial" w:cs="Arial" w:eastAsia="Arial" w:hAnsi="Arial"/>
                <w:sz w:val="14"/>
                <w:szCs w:val="14"/>
                <w:color w:val="auto"/>
              </w:rPr>
              <w:t>3/14/2022</w:t>
            </w:r>
          </w:p>
        </w:tc>
        <w:tc>
          <w:tcPr>
            <w:tcW w:w="200" w:type="dxa"/>
            <w:vAlign w:val="bottom"/>
            <w:shd w:val="clear" w:color="auto" w:fill="E6E6E6"/>
          </w:tcPr>
          <w:p>
            <w:pPr>
              <w:spacing w:after="0"/>
              <w:rPr>
                <w:sz w:val="13"/>
                <w:szCs w:val="13"/>
                <w:color w:val="auto"/>
              </w:rPr>
            </w:pPr>
          </w:p>
        </w:tc>
        <w:tc>
          <w:tcPr>
            <w:tcW w:w="1200" w:type="dxa"/>
            <w:vAlign w:val="bottom"/>
            <w:shd w:val="clear" w:color="auto" w:fill="E6E6E6"/>
          </w:tcPr>
          <w:p>
            <w:pPr>
              <w:spacing w:after="0"/>
              <w:rPr>
                <w:sz w:val="13"/>
                <w:szCs w:val="13"/>
                <w:color w:val="auto"/>
              </w:rPr>
            </w:pPr>
          </w:p>
        </w:tc>
        <w:tc>
          <w:tcPr>
            <w:tcW w:w="700" w:type="dxa"/>
            <w:vAlign w:val="bottom"/>
            <w:tcBorders>
              <w:right w:val="single" w:sz="8" w:color="0033A0"/>
            </w:tcBorders>
            <w:shd w:val="clear" w:color="auto" w:fill="E6E6E6"/>
          </w:tcPr>
          <w:p>
            <w:pPr>
              <w:jc w:val="right"/>
              <w:ind w:right="1"/>
              <w:spacing w:after="0" w:line="150" w:lineRule="exact"/>
              <w:rPr>
                <w:sz w:val="20"/>
                <w:szCs w:val="20"/>
                <w:color w:val="auto"/>
              </w:rPr>
            </w:pPr>
            <w:r>
              <w:rPr>
                <w:rFonts w:ascii="Arial" w:cs="Arial" w:eastAsia="Arial" w:hAnsi="Arial"/>
                <w:sz w:val="11"/>
                <w:szCs w:val="11"/>
                <w:color w:val="auto"/>
              </w:rPr>
              <w:t>8,866</w:t>
            </w:r>
            <w:r>
              <w:rPr>
                <w:rFonts w:ascii="Arial" w:cs="Arial" w:eastAsia="Arial" w:hAnsi="Arial"/>
                <w:sz w:val="17"/>
                <w:szCs w:val="17"/>
                <w:color w:val="auto"/>
                <w:vertAlign w:val="superscript"/>
              </w:rPr>
              <w:t>(1)</w:t>
            </w:r>
          </w:p>
        </w:tc>
        <w:tc>
          <w:tcPr>
            <w:tcW w:w="2000" w:type="dxa"/>
            <w:vAlign w:val="bottom"/>
            <w:tcBorders>
              <w:right w:val="single" w:sz="8" w:color="0033A0"/>
            </w:tcBorders>
            <w:shd w:val="clear" w:color="auto" w:fill="E6E6E6"/>
          </w:tcPr>
          <w:p>
            <w:pPr>
              <w:jc w:val="right"/>
              <w:ind w:right="48"/>
              <w:spacing w:after="0" w:line="149" w:lineRule="exact"/>
              <w:rPr>
                <w:sz w:val="20"/>
                <w:szCs w:val="20"/>
                <w:color w:val="auto"/>
              </w:rPr>
            </w:pPr>
            <w:r>
              <w:rPr>
                <w:rFonts w:ascii="Arial" w:cs="Arial" w:eastAsia="Arial" w:hAnsi="Arial"/>
                <w:sz w:val="14"/>
                <w:szCs w:val="14"/>
                <w:color w:val="auto"/>
              </w:rPr>
              <w:t>237,875</w:t>
            </w:r>
          </w:p>
        </w:tc>
        <w:tc>
          <w:tcPr>
            <w:tcW w:w="1980" w:type="dxa"/>
            <w:vAlign w:val="bottom"/>
            <w:tcBorders>
              <w:right w:val="single" w:sz="8" w:color="0033A0"/>
            </w:tcBorders>
            <w:shd w:val="clear" w:color="auto" w:fill="E6E6E6"/>
          </w:tcPr>
          <w:p>
            <w:pPr>
              <w:jc w:val="right"/>
              <w:ind w:right="28"/>
              <w:spacing w:after="0" w:line="149" w:lineRule="exact"/>
              <w:rPr>
                <w:sz w:val="20"/>
                <w:szCs w:val="20"/>
                <w:color w:val="auto"/>
              </w:rPr>
            </w:pPr>
            <w:r>
              <w:rPr>
                <w:rFonts w:ascii="Arial" w:cs="Arial" w:eastAsia="Arial" w:hAnsi="Arial"/>
                <w:sz w:val="14"/>
                <w:szCs w:val="14"/>
                <w:color w:val="auto"/>
              </w:rPr>
              <w:t>17,733</w:t>
            </w:r>
          </w:p>
        </w:tc>
        <w:tc>
          <w:tcPr>
            <w:tcW w:w="2000" w:type="dxa"/>
            <w:vAlign w:val="bottom"/>
            <w:tcBorders>
              <w:right w:val="single" w:sz="8" w:color="0033A0"/>
            </w:tcBorders>
            <w:shd w:val="clear" w:color="auto" w:fill="E6E6E6"/>
          </w:tcPr>
          <w:p>
            <w:pPr>
              <w:jc w:val="right"/>
              <w:ind w:right="28"/>
              <w:spacing w:after="0" w:line="149" w:lineRule="exact"/>
              <w:rPr>
                <w:sz w:val="20"/>
                <w:szCs w:val="20"/>
                <w:color w:val="auto"/>
              </w:rPr>
            </w:pPr>
            <w:r>
              <w:rPr>
                <w:rFonts w:ascii="Arial" w:cs="Arial" w:eastAsia="Arial" w:hAnsi="Arial"/>
                <w:sz w:val="14"/>
                <w:szCs w:val="14"/>
                <w:color w:val="auto"/>
              </w:rPr>
              <w:t>475,776</w:t>
            </w:r>
          </w:p>
        </w:tc>
        <w:tc>
          <w:tcPr>
            <w:tcW w:w="0" w:type="dxa"/>
            <w:vAlign w:val="bottom"/>
          </w:tcPr>
          <w:p>
            <w:pPr>
              <w:spacing w:after="0"/>
              <w:rPr>
                <w:sz w:val="1"/>
                <w:szCs w:val="1"/>
                <w:color w:val="auto"/>
              </w:rPr>
            </w:pPr>
          </w:p>
        </w:tc>
      </w:tr>
      <w:tr>
        <w:trPr>
          <w:trHeight w:val="162"/>
        </w:trPr>
        <w:tc>
          <w:tcPr>
            <w:tcW w:w="1680" w:type="dxa"/>
            <w:vAlign w:val="bottom"/>
            <w:tcBorders>
              <w:right w:val="single" w:sz="8" w:color="0033A0"/>
            </w:tcBorders>
          </w:tcPr>
          <w:p>
            <w:pPr>
              <w:jc w:val="center"/>
              <w:spacing w:after="0"/>
              <w:rPr>
                <w:sz w:val="20"/>
                <w:szCs w:val="20"/>
                <w:color w:val="auto"/>
              </w:rPr>
            </w:pPr>
            <w:r>
              <w:rPr>
                <w:rFonts w:ascii="Arial" w:cs="Arial" w:eastAsia="Arial" w:hAnsi="Arial"/>
                <w:sz w:val="14"/>
                <w:szCs w:val="14"/>
                <w:color w:val="auto"/>
              </w:rPr>
              <w:t>3/14/2023</w:t>
            </w:r>
          </w:p>
        </w:tc>
        <w:tc>
          <w:tcPr>
            <w:tcW w:w="200" w:type="dxa"/>
            <w:vAlign w:val="bottom"/>
            <w:shd w:val="clear" w:color="auto" w:fill="E6E6E6"/>
          </w:tcPr>
          <w:p>
            <w:pPr>
              <w:spacing w:after="0"/>
              <w:rPr>
                <w:sz w:val="14"/>
                <w:szCs w:val="14"/>
                <w:color w:val="auto"/>
              </w:rPr>
            </w:pPr>
          </w:p>
        </w:tc>
        <w:tc>
          <w:tcPr>
            <w:tcW w:w="1200" w:type="dxa"/>
            <w:vAlign w:val="bottom"/>
            <w:shd w:val="clear" w:color="auto" w:fill="E6E6E6"/>
          </w:tcPr>
          <w:p>
            <w:pPr>
              <w:spacing w:after="0"/>
              <w:rPr>
                <w:sz w:val="14"/>
                <w:szCs w:val="14"/>
                <w:color w:val="auto"/>
              </w:rPr>
            </w:pPr>
          </w:p>
        </w:tc>
        <w:tc>
          <w:tcPr>
            <w:tcW w:w="700" w:type="dxa"/>
            <w:vAlign w:val="bottom"/>
            <w:tcBorders>
              <w:right w:val="single" w:sz="8" w:color="0033A0"/>
            </w:tcBorders>
            <w:shd w:val="clear" w:color="auto" w:fill="E6E6E6"/>
          </w:tcPr>
          <w:p>
            <w:pPr>
              <w:jc w:val="right"/>
              <w:ind w:right="1"/>
              <w:spacing w:after="0" w:line="162" w:lineRule="exact"/>
              <w:rPr>
                <w:sz w:val="20"/>
                <w:szCs w:val="20"/>
                <w:color w:val="auto"/>
              </w:rPr>
            </w:pPr>
            <w:r>
              <w:rPr>
                <w:rFonts w:ascii="Arial" w:cs="Arial" w:eastAsia="Arial" w:hAnsi="Arial"/>
                <w:sz w:val="12"/>
                <w:szCs w:val="12"/>
                <w:color w:val="auto"/>
              </w:rPr>
              <w:t>10,890</w:t>
            </w:r>
            <w:r>
              <w:rPr>
                <w:rFonts w:ascii="Arial" w:cs="Arial" w:eastAsia="Arial" w:hAnsi="Arial"/>
                <w:sz w:val="18"/>
                <w:szCs w:val="18"/>
                <w:color w:val="auto"/>
                <w:vertAlign w:val="superscript"/>
              </w:rPr>
              <w:t>(1)</w:t>
            </w:r>
          </w:p>
        </w:tc>
        <w:tc>
          <w:tcPr>
            <w:tcW w:w="2000" w:type="dxa"/>
            <w:vAlign w:val="bottom"/>
            <w:tcBorders>
              <w:right w:val="single" w:sz="8" w:color="0033A0"/>
            </w:tcBorders>
            <w:shd w:val="clear" w:color="auto" w:fill="E6E6E6"/>
          </w:tcPr>
          <w:p>
            <w:pPr>
              <w:jc w:val="right"/>
              <w:ind w:right="48"/>
              <w:spacing w:after="0"/>
              <w:rPr>
                <w:sz w:val="20"/>
                <w:szCs w:val="20"/>
                <w:color w:val="auto"/>
              </w:rPr>
            </w:pPr>
            <w:r>
              <w:rPr>
                <w:rFonts w:ascii="Arial" w:cs="Arial" w:eastAsia="Arial" w:hAnsi="Arial"/>
                <w:sz w:val="14"/>
                <w:szCs w:val="14"/>
                <w:color w:val="auto"/>
              </w:rPr>
              <w:t>292,179</w:t>
            </w:r>
          </w:p>
        </w:tc>
        <w:tc>
          <w:tcPr>
            <w:tcW w:w="1980" w:type="dxa"/>
            <w:vAlign w:val="bottom"/>
            <w:tcBorders>
              <w:right w:val="single" w:sz="8" w:color="0033A0"/>
            </w:tcBorders>
            <w:shd w:val="clear" w:color="auto" w:fill="E6E6E6"/>
          </w:tcPr>
          <w:p>
            <w:pPr>
              <w:jc w:val="right"/>
              <w:ind w:right="28"/>
              <w:spacing w:after="0"/>
              <w:rPr>
                <w:sz w:val="20"/>
                <w:szCs w:val="20"/>
                <w:color w:val="auto"/>
              </w:rPr>
            </w:pPr>
            <w:r>
              <w:rPr>
                <w:rFonts w:ascii="Arial" w:cs="Arial" w:eastAsia="Arial" w:hAnsi="Arial"/>
                <w:sz w:val="14"/>
                <w:szCs w:val="14"/>
                <w:color w:val="auto"/>
              </w:rPr>
              <w:t>21,782</w:t>
            </w:r>
          </w:p>
        </w:tc>
        <w:tc>
          <w:tcPr>
            <w:tcW w:w="2000" w:type="dxa"/>
            <w:vAlign w:val="bottom"/>
            <w:tcBorders>
              <w:right w:val="single" w:sz="8" w:color="0033A0"/>
            </w:tcBorders>
            <w:shd w:val="clear" w:color="auto" w:fill="E6E6E6"/>
          </w:tcPr>
          <w:p>
            <w:pPr>
              <w:jc w:val="right"/>
              <w:ind w:right="28"/>
              <w:spacing w:after="0"/>
              <w:rPr>
                <w:sz w:val="20"/>
                <w:szCs w:val="20"/>
                <w:color w:val="auto"/>
              </w:rPr>
            </w:pPr>
            <w:r>
              <w:rPr>
                <w:rFonts w:ascii="Arial" w:cs="Arial" w:eastAsia="Arial" w:hAnsi="Arial"/>
                <w:sz w:val="14"/>
                <w:szCs w:val="14"/>
                <w:color w:val="auto"/>
              </w:rPr>
              <w:t>584,411</w:t>
            </w:r>
          </w:p>
        </w:tc>
        <w:tc>
          <w:tcPr>
            <w:tcW w:w="0" w:type="dxa"/>
            <w:vAlign w:val="bottom"/>
          </w:tcPr>
          <w:p>
            <w:pPr>
              <w:spacing w:after="0"/>
              <w:rPr>
                <w:sz w:val="1"/>
                <w:szCs w:val="1"/>
                <w:color w:val="auto"/>
              </w:rPr>
            </w:pPr>
          </w:p>
        </w:tc>
      </w:tr>
      <w:tr>
        <w:trPr>
          <w:trHeight w:val="174"/>
        </w:trPr>
        <w:tc>
          <w:tcPr>
            <w:tcW w:w="1680" w:type="dxa"/>
            <w:vAlign w:val="bottom"/>
            <w:tcBorders>
              <w:bottom w:val="single" w:sz="8" w:color="0033A0"/>
              <w:right w:val="single" w:sz="8" w:color="0033A0"/>
            </w:tcBorders>
          </w:tcPr>
          <w:p>
            <w:pPr>
              <w:jc w:val="center"/>
              <w:spacing w:after="0"/>
              <w:rPr>
                <w:sz w:val="20"/>
                <w:szCs w:val="20"/>
                <w:color w:val="auto"/>
              </w:rPr>
            </w:pPr>
            <w:r>
              <w:rPr>
                <w:rFonts w:ascii="Arial" w:cs="Arial" w:eastAsia="Arial" w:hAnsi="Arial"/>
                <w:sz w:val="14"/>
                <w:szCs w:val="14"/>
                <w:color w:val="auto"/>
              </w:rPr>
              <w:t>3/12/2024</w:t>
            </w:r>
          </w:p>
        </w:tc>
        <w:tc>
          <w:tcPr>
            <w:tcW w:w="200" w:type="dxa"/>
            <w:vAlign w:val="bottom"/>
            <w:tcBorders>
              <w:bottom w:val="single" w:sz="8" w:color="0033A0"/>
            </w:tcBorders>
            <w:shd w:val="clear" w:color="auto" w:fill="E6E6E6"/>
          </w:tcPr>
          <w:p>
            <w:pPr>
              <w:spacing w:after="0"/>
              <w:rPr>
                <w:sz w:val="15"/>
                <w:szCs w:val="15"/>
                <w:color w:val="auto"/>
              </w:rPr>
            </w:pPr>
          </w:p>
        </w:tc>
        <w:tc>
          <w:tcPr>
            <w:tcW w:w="1200" w:type="dxa"/>
            <w:vAlign w:val="bottom"/>
            <w:tcBorders>
              <w:bottom w:val="single" w:sz="8" w:color="0033A0"/>
            </w:tcBorders>
            <w:shd w:val="clear" w:color="auto" w:fill="E6E6E6"/>
          </w:tcPr>
          <w:p>
            <w:pPr>
              <w:spacing w:after="0"/>
              <w:rPr>
                <w:sz w:val="15"/>
                <w:szCs w:val="15"/>
                <w:color w:val="auto"/>
              </w:rPr>
            </w:pPr>
          </w:p>
        </w:tc>
        <w:tc>
          <w:tcPr>
            <w:tcW w:w="700" w:type="dxa"/>
            <w:vAlign w:val="bottom"/>
            <w:tcBorders>
              <w:bottom w:val="single" w:sz="8" w:color="0033A0"/>
              <w:right w:val="single" w:sz="8" w:color="0033A0"/>
            </w:tcBorders>
            <w:shd w:val="clear" w:color="auto" w:fill="E6E6E6"/>
          </w:tcPr>
          <w:p>
            <w:pPr>
              <w:jc w:val="right"/>
              <w:ind w:right="1"/>
              <w:spacing w:after="0" w:line="175" w:lineRule="exact"/>
              <w:rPr>
                <w:sz w:val="20"/>
                <w:szCs w:val="20"/>
                <w:color w:val="auto"/>
              </w:rPr>
            </w:pPr>
            <w:r>
              <w:rPr>
                <w:rFonts w:ascii="Arial" w:cs="Arial" w:eastAsia="Arial" w:hAnsi="Arial"/>
                <w:sz w:val="13"/>
                <w:szCs w:val="13"/>
                <w:color w:val="auto"/>
              </w:rPr>
              <w:t>16,316</w:t>
            </w:r>
            <w:r>
              <w:rPr>
                <w:rFonts w:ascii="Arial" w:cs="Arial" w:eastAsia="Arial" w:hAnsi="Arial"/>
                <w:sz w:val="20"/>
                <w:szCs w:val="20"/>
                <w:color w:val="auto"/>
                <w:vertAlign w:val="superscript"/>
              </w:rPr>
              <w:t>(1)</w:t>
            </w:r>
          </w:p>
        </w:tc>
        <w:tc>
          <w:tcPr>
            <w:tcW w:w="2000" w:type="dxa"/>
            <w:vAlign w:val="bottom"/>
            <w:tcBorders>
              <w:bottom w:val="single" w:sz="8" w:color="0033A0"/>
              <w:right w:val="single" w:sz="8" w:color="0033A0"/>
            </w:tcBorders>
            <w:shd w:val="clear" w:color="auto" w:fill="E6E6E6"/>
          </w:tcPr>
          <w:p>
            <w:pPr>
              <w:jc w:val="right"/>
              <w:ind w:right="48"/>
              <w:spacing w:after="0"/>
              <w:rPr>
                <w:sz w:val="20"/>
                <w:szCs w:val="20"/>
                <w:color w:val="auto"/>
              </w:rPr>
            </w:pPr>
            <w:r>
              <w:rPr>
                <w:rFonts w:ascii="Arial" w:cs="Arial" w:eastAsia="Arial" w:hAnsi="Arial"/>
                <w:sz w:val="14"/>
                <w:szCs w:val="14"/>
                <w:color w:val="auto"/>
              </w:rPr>
              <w:t>437,758</w:t>
            </w:r>
          </w:p>
        </w:tc>
        <w:tc>
          <w:tcPr>
            <w:tcW w:w="1980" w:type="dxa"/>
            <w:vAlign w:val="bottom"/>
            <w:tcBorders>
              <w:bottom w:val="single" w:sz="8" w:color="0033A0"/>
              <w:right w:val="single" w:sz="8" w:color="0033A0"/>
            </w:tcBorders>
            <w:shd w:val="clear" w:color="auto" w:fill="E6E6E6"/>
          </w:tcPr>
          <w:p>
            <w:pPr>
              <w:jc w:val="right"/>
              <w:ind w:right="28"/>
              <w:spacing w:after="0"/>
              <w:rPr>
                <w:sz w:val="20"/>
                <w:szCs w:val="20"/>
                <w:color w:val="auto"/>
              </w:rPr>
            </w:pPr>
            <w:r>
              <w:rPr>
                <w:rFonts w:ascii="Arial" w:cs="Arial" w:eastAsia="Arial" w:hAnsi="Arial"/>
                <w:sz w:val="14"/>
                <w:szCs w:val="14"/>
                <w:color w:val="auto"/>
              </w:rPr>
              <w:t>24,474</w:t>
            </w:r>
          </w:p>
        </w:tc>
        <w:tc>
          <w:tcPr>
            <w:tcW w:w="2000" w:type="dxa"/>
            <w:vAlign w:val="bottom"/>
            <w:tcBorders>
              <w:bottom w:val="single" w:sz="8" w:color="0033A0"/>
              <w:right w:val="single" w:sz="8" w:color="0033A0"/>
            </w:tcBorders>
            <w:shd w:val="clear" w:color="auto" w:fill="E6E6E6"/>
          </w:tcPr>
          <w:p>
            <w:pPr>
              <w:jc w:val="right"/>
              <w:ind w:right="28"/>
              <w:spacing w:after="0"/>
              <w:rPr>
                <w:sz w:val="20"/>
                <w:szCs w:val="20"/>
                <w:color w:val="auto"/>
              </w:rPr>
            </w:pPr>
            <w:r>
              <w:rPr>
                <w:rFonts w:ascii="Arial" w:cs="Arial" w:eastAsia="Arial" w:hAnsi="Arial"/>
                <w:sz w:val="14"/>
                <w:szCs w:val="14"/>
                <w:color w:val="auto"/>
              </w:rPr>
              <w:t>656,637</w:t>
            </w:r>
          </w:p>
        </w:tc>
        <w:tc>
          <w:tcPr>
            <w:tcW w:w="0" w:type="dxa"/>
            <w:vAlign w:val="bottom"/>
          </w:tcPr>
          <w:p>
            <w:pPr>
              <w:spacing w:after="0"/>
              <w:rPr>
                <w:sz w:val="1"/>
                <w:szCs w:val="1"/>
                <w:color w:val="auto"/>
              </w:rPr>
            </w:pPr>
          </w:p>
        </w:tc>
      </w:tr>
      <w:tr>
        <w:trPr>
          <w:trHeight w:val="143"/>
        </w:trPr>
        <w:tc>
          <w:tcPr>
            <w:tcW w:w="1680" w:type="dxa"/>
            <w:vAlign w:val="bottom"/>
            <w:tcBorders>
              <w:right w:val="single" w:sz="8" w:color="0033A0"/>
            </w:tcBorders>
          </w:tcPr>
          <w:p>
            <w:pPr>
              <w:jc w:val="center"/>
              <w:spacing w:after="0" w:line="143" w:lineRule="exact"/>
              <w:rPr>
                <w:sz w:val="20"/>
                <w:szCs w:val="20"/>
                <w:color w:val="auto"/>
              </w:rPr>
            </w:pPr>
            <w:r>
              <w:rPr>
                <w:rFonts w:ascii="Arial" w:cs="Arial" w:eastAsia="Arial" w:hAnsi="Arial"/>
                <w:sz w:val="14"/>
                <w:szCs w:val="14"/>
                <w:color w:val="auto"/>
              </w:rPr>
              <w:t>3/15/2021</w:t>
            </w: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tcBorders>
              <w:right w:val="single" w:sz="8" w:color="0033A0"/>
            </w:tcBorders>
          </w:tcPr>
          <w:p>
            <w:pPr>
              <w:jc w:val="right"/>
              <w:ind w:right="1"/>
              <w:spacing w:after="0" w:line="143" w:lineRule="exact"/>
              <w:rPr>
                <w:sz w:val="20"/>
                <w:szCs w:val="20"/>
                <w:color w:val="auto"/>
              </w:rPr>
            </w:pPr>
            <w:r>
              <w:rPr>
                <w:rFonts w:ascii="Arial" w:cs="Arial" w:eastAsia="Arial" w:hAnsi="Arial"/>
                <w:sz w:val="11"/>
                <w:szCs w:val="11"/>
                <w:color w:val="auto"/>
              </w:rPr>
              <w:t>1,544</w:t>
            </w:r>
            <w:r>
              <w:rPr>
                <w:rFonts w:ascii="Arial" w:cs="Arial" w:eastAsia="Arial" w:hAnsi="Arial"/>
                <w:sz w:val="16"/>
                <w:szCs w:val="16"/>
                <w:color w:val="auto"/>
                <w:vertAlign w:val="superscript"/>
              </w:rPr>
              <w:t>(1)</w:t>
            </w:r>
          </w:p>
        </w:tc>
        <w:tc>
          <w:tcPr>
            <w:tcW w:w="2000" w:type="dxa"/>
            <w:vAlign w:val="bottom"/>
            <w:tcBorders>
              <w:right w:val="single" w:sz="8" w:color="0033A0"/>
            </w:tcBorders>
          </w:tcPr>
          <w:p>
            <w:pPr>
              <w:jc w:val="right"/>
              <w:ind w:right="48"/>
              <w:spacing w:after="0" w:line="143" w:lineRule="exact"/>
              <w:rPr>
                <w:sz w:val="20"/>
                <w:szCs w:val="20"/>
                <w:color w:val="auto"/>
              </w:rPr>
            </w:pPr>
            <w:r>
              <w:rPr>
                <w:rFonts w:ascii="Arial" w:cs="Arial" w:eastAsia="Arial" w:hAnsi="Arial"/>
                <w:sz w:val="14"/>
                <w:szCs w:val="14"/>
                <w:color w:val="auto"/>
              </w:rPr>
              <w:t>41,426</w:t>
            </w:r>
          </w:p>
        </w:tc>
        <w:tc>
          <w:tcPr>
            <w:tcW w:w="1980" w:type="dxa"/>
            <w:vAlign w:val="bottom"/>
            <w:tcBorders>
              <w:right w:val="single" w:sz="8" w:color="0033A0"/>
            </w:tcBorders>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2000" w:type="dxa"/>
            <w:vAlign w:val="bottom"/>
            <w:tcBorders>
              <w:right w:val="single" w:sz="8" w:color="0033A0"/>
            </w:tcBorders>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680" w:type="dxa"/>
            <w:vAlign w:val="bottom"/>
            <w:tcBorders>
              <w:right w:val="single" w:sz="8" w:color="0033A0"/>
            </w:tcBorders>
          </w:tcPr>
          <w:p>
            <w:pPr>
              <w:jc w:val="center"/>
              <w:spacing w:after="0"/>
              <w:rPr>
                <w:sz w:val="20"/>
                <w:szCs w:val="20"/>
                <w:color w:val="auto"/>
              </w:rPr>
            </w:pPr>
            <w:r>
              <w:rPr>
                <w:rFonts w:ascii="Arial" w:cs="Arial" w:eastAsia="Arial" w:hAnsi="Arial"/>
                <w:sz w:val="14"/>
                <w:szCs w:val="14"/>
                <w:color w:val="auto"/>
              </w:rPr>
              <w:t>3/14/2022</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Borders>
              <w:right w:val="single" w:sz="8" w:color="0033A0"/>
            </w:tcBorders>
          </w:tcPr>
          <w:p>
            <w:pPr>
              <w:jc w:val="right"/>
              <w:ind w:right="1"/>
              <w:spacing w:after="0" w:line="162" w:lineRule="exact"/>
              <w:rPr>
                <w:sz w:val="20"/>
                <w:szCs w:val="20"/>
                <w:color w:val="auto"/>
              </w:rPr>
            </w:pPr>
            <w:r>
              <w:rPr>
                <w:rFonts w:ascii="Arial" w:cs="Arial" w:eastAsia="Arial" w:hAnsi="Arial"/>
                <w:sz w:val="12"/>
                <w:szCs w:val="12"/>
                <w:color w:val="auto"/>
              </w:rPr>
              <w:t>5,850</w:t>
            </w:r>
            <w:r>
              <w:rPr>
                <w:rFonts w:ascii="Arial" w:cs="Arial" w:eastAsia="Arial" w:hAnsi="Arial"/>
                <w:sz w:val="18"/>
                <w:szCs w:val="18"/>
                <w:color w:val="auto"/>
                <w:vertAlign w:val="superscript"/>
              </w:rPr>
              <w:t>(1)</w:t>
            </w:r>
          </w:p>
        </w:tc>
        <w:tc>
          <w:tcPr>
            <w:tcW w:w="2000" w:type="dxa"/>
            <w:vAlign w:val="bottom"/>
            <w:tcBorders>
              <w:right w:val="single" w:sz="8" w:color="0033A0"/>
            </w:tcBorders>
          </w:tcPr>
          <w:p>
            <w:pPr>
              <w:jc w:val="right"/>
              <w:ind w:right="48"/>
              <w:spacing w:after="0"/>
              <w:rPr>
                <w:sz w:val="20"/>
                <w:szCs w:val="20"/>
                <w:color w:val="auto"/>
              </w:rPr>
            </w:pPr>
            <w:r>
              <w:rPr>
                <w:rFonts w:ascii="Arial" w:cs="Arial" w:eastAsia="Arial" w:hAnsi="Arial"/>
                <w:sz w:val="14"/>
                <w:szCs w:val="14"/>
                <w:color w:val="auto"/>
              </w:rPr>
              <w:t>156,956</w:t>
            </w:r>
          </w:p>
        </w:tc>
        <w:tc>
          <w:tcPr>
            <w:tcW w:w="1980" w:type="dxa"/>
            <w:vAlign w:val="bottom"/>
            <w:tcBorders>
              <w:right w:val="single" w:sz="8" w:color="0033A0"/>
            </w:tcBorders>
          </w:tcPr>
          <w:p>
            <w:pPr>
              <w:jc w:val="right"/>
              <w:ind w:right="28"/>
              <w:spacing w:after="0"/>
              <w:rPr>
                <w:sz w:val="20"/>
                <w:szCs w:val="20"/>
                <w:color w:val="auto"/>
              </w:rPr>
            </w:pPr>
            <w:r>
              <w:rPr>
                <w:rFonts w:ascii="Arial" w:cs="Arial" w:eastAsia="Arial" w:hAnsi="Arial"/>
                <w:sz w:val="14"/>
                <w:szCs w:val="14"/>
                <w:color w:val="auto"/>
              </w:rPr>
              <w:t>11,700</w:t>
            </w:r>
          </w:p>
        </w:tc>
        <w:tc>
          <w:tcPr>
            <w:tcW w:w="2000" w:type="dxa"/>
            <w:vAlign w:val="bottom"/>
            <w:tcBorders>
              <w:right w:val="single" w:sz="8" w:color="0033A0"/>
            </w:tcBorders>
          </w:tcPr>
          <w:p>
            <w:pPr>
              <w:jc w:val="right"/>
              <w:ind w:right="28"/>
              <w:spacing w:after="0"/>
              <w:rPr>
                <w:sz w:val="20"/>
                <w:szCs w:val="20"/>
                <w:color w:val="auto"/>
              </w:rPr>
            </w:pPr>
            <w:r>
              <w:rPr>
                <w:rFonts w:ascii="Arial" w:cs="Arial" w:eastAsia="Arial" w:hAnsi="Arial"/>
                <w:sz w:val="14"/>
                <w:szCs w:val="14"/>
                <w:color w:val="auto"/>
              </w:rPr>
              <w:t>313,911</w:t>
            </w:r>
          </w:p>
        </w:tc>
        <w:tc>
          <w:tcPr>
            <w:tcW w:w="0" w:type="dxa"/>
            <w:vAlign w:val="bottom"/>
          </w:tcPr>
          <w:p>
            <w:pPr>
              <w:spacing w:after="0"/>
              <w:rPr>
                <w:sz w:val="1"/>
                <w:szCs w:val="1"/>
                <w:color w:val="auto"/>
              </w:rPr>
            </w:pPr>
          </w:p>
        </w:tc>
      </w:tr>
      <w:tr>
        <w:trPr>
          <w:trHeight w:val="162"/>
        </w:trPr>
        <w:tc>
          <w:tcPr>
            <w:tcW w:w="1680" w:type="dxa"/>
            <w:vAlign w:val="bottom"/>
            <w:tcBorders>
              <w:right w:val="single" w:sz="8" w:color="0033A0"/>
            </w:tcBorders>
          </w:tcPr>
          <w:p>
            <w:pPr>
              <w:jc w:val="center"/>
              <w:spacing w:after="0"/>
              <w:rPr>
                <w:sz w:val="20"/>
                <w:szCs w:val="20"/>
                <w:color w:val="auto"/>
              </w:rPr>
            </w:pPr>
            <w:r>
              <w:rPr>
                <w:rFonts w:ascii="Arial" w:cs="Arial" w:eastAsia="Arial" w:hAnsi="Arial"/>
                <w:sz w:val="14"/>
                <w:szCs w:val="14"/>
                <w:color w:val="auto"/>
              </w:rPr>
              <w:t>3/14/2023</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Borders>
              <w:right w:val="single" w:sz="8" w:color="0033A0"/>
            </w:tcBorders>
          </w:tcPr>
          <w:p>
            <w:pPr>
              <w:jc w:val="right"/>
              <w:ind w:right="1"/>
              <w:spacing w:after="0" w:line="162" w:lineRule="exact"/>
              <w:rPr>
                <w:sz w:val="20"/>
                <w:szCs w:val="20"/>
                <w:color w:val="auto"/>
              </w:rPr>
            </w:pPr>
            <w:r>
              <w:rPr>
                <w:rFonts w:ascii="Arial" w:cs="Arial" w:eastAsia="Arial" w:hAnsi="Arial"/>
                <w:sz w:val="12"/>
                <w:szCs w:val="12"/>
                <w:color w:val="auto"/>
              </w:rPr>
              <w:t>8,250</w:t>
            </w:r>
            <w:r>
              <w:rPr>
                <w:rFonts w:ascii="Arial" w:cs="Arial" w:eastAsia="Arial" w:hAnsi="Arial"/>
                <w:sz w:val="18"/>
                <w:szCs w:val="18"/>
                <w:color w:val="auto"/>
                <w:vertAlign w:val="superscript"/>
              </w:rPr>
              <w:t>(1)</w:t>
            </w:r>
          </w:p>
        </w:tc>
        <w:tc>
          <w:tcPr>
            <w:tcW w:w="2000" w:type="dxa"/>
            <w:vAlign w:val="bottom"/>
            <w:tcBorders>
              <w:right w:val="single" w:sz="8" w:color="0033A0"/>
            </w:tcBorders>
          </w:tcPr>
          <w:p>
            <w:pPr>
              <w:jc w:val="right"/>
              <w:ind w:right="48"/>
              <w:spacing w:after="0"/>
              <w:rPr>
                <w:sz w:val="20"/>
                <w:szCs w:val="20"/>
                <w:color w:val="auto"/>
              </w:rPr>
            </w:pPr>
            <w:r>
              <w:rPr>
                <w:rFonts w:ascii="Arial" w:cs="Arial" w:eastAsia="Arial" w:hAnsi="Arial"/>
                <w:sz w:val="14"/>
                <w:szCs w:val="14"/>
                <w:color w:val="auto"/>
              </w:rPr>
              <w:t>221,348</w:t>
            </w:r>
          </w:p>
        </w:tc>
        <w:tc>
          <w:tcPr>
            <w:tcW w:w="1980" w:type="dxa"/>
            <w:vAlign w:val="bottom"/>
            <w:tcBorders>
              <w:right w:val="single" w:sz="8" w:color="0033A0"/>
            </w:tcBorders>
          </w:tcPr>
          <w:p>
            <w:pPr>
              <w:jc w:val="right"/>
              <w:ind w:right="28"/>
              <w:spacing w:after="0"/>
              <w:rPr>
                <w:sz w:val="20"/>
                <w:szCs w:val="20"/>
                <w:color w:val="auto"/>
              </w:rPr>
            </w:pPr>
            <w:r>
              <w:rPr>
                <w:rFonts w:ascii="Arial" w:cs="Arial" w:eastAsia="Arial" w:hAnsi="Arial"/>
                <w:sz w:val="14"/>
                <w:szCs w:val="14"/>
                <w:color w:val="auto"/>
              </w:rPr>
              <w:t>16,501</w:t>
            </w:r>
          </w:p>
        </w:tc>
        <w:tc>
          <w:tcPr>
            <w:tcW w:w="2000" w:type="dxa"/>
            <w:vAlign w:val="bottom"/>
            <w:tcBorders>
              <w:right w:val="single" w:sz="8" w:color="0033A0"/>
            </w:tcBorders>
          </w:tcPr>
          <w:p>
            <w:pPr>
              <w:jc w:val="right"/>
              <w:ind w:right="28"/>
              <w:spacing w:after="0"/>
              <w:rPr>
                <w:sz w:val="20"/>
                <w:szCs w:val="20"/>
                <w:color w:val="auto"/>
              </w:rPr>
            </w:pPr>
            <w:r>
              <w:rPr>
                <w:rFonts w:ascii="Arial" w:cs="Arial" w:eastAsia="Arial" w:hAnsi="Arial"/>
                <w:sz w:val="14"/>
                <w:szCs w:val="14"/>
                <w:color w:val="auto"/>
              </w:rPr>
              <w:t>442,722</w:t>
            </w:r>
          </w:p>
        </w:tc>
        <w:tc>
          <w:tcPr>
            <w:tcW w:w="0" w:type="dxa"/>
            <w:vAlign w:val="bottom"/>
          </w:tcPr>
          <w:p>
            <w:pPr>
              <w:spacing w:after="0"/>
              <w:rPr>
                <w:sz w:val="1"/>
                <w:szCs w:val="1"/>
                <w:color w:val="auto"/>
              </w:rPr>
            </w:pPr>
          </w:p>
        </w:tc>
      </w:tr>
      <w:tr>
        <w:trPr>
          <w:trHeight w:val="174"/>
        </w:trPr>
        <w:tc>
          <w:tcPr>
            <w:tcW w:w="1680" w:type="dxa"/>
            <w:vAlign w:val="bottom"/>
            <w:tcBorders>
              <w:bottom w:val="single" w:sz="8" w:color="0033A0"/>
              <w:right w:val="single" w:sz="8" w:color="0033A0"/>
            </w:tcBorders>
          </w:tcPr>
          <w:p>
            <w:pPr>
              <w:jc w:val="center"/>
              <w:spacing w:after="0"/>
              <w:rPr>
                <w:sz w:val="20"/>
                <w:szCs w:val="20"/>
                <w:color w:val="auto"/>
              </w:rPr>
            </w:pPr>
            <w:r>
              <w:rPr>
                <w:rFonts w:ascii="Arial" w:cs="Arial" w:eastAsia="Arial" w:hAnsi="Arial"/>
                <w:sz w:val="14"/>
                <w:szCs w:val="14"/>
                <w:color w:val="auto"/>
              </w:rPr>
              <w:t>3/12/2024</w:t>
            </w:r>
          </w:p>
        </w:tc>
        <w:tc>
          <w:tcPr>
            <w:tcW w:w="200" w:type="dxa"/>
            <w:vAlign w:val="bottom"/>
            <w:tcBorders>
              <w:bottom w:val="single" w:sz="8" w:color="0033A0"/>
            </w:tcBorders>
          </w:tcPr>
          <w:p>
            <w:pPr>
              <w:spacing w:after="0"/>
              <w:rPr>
                <w:sz w:val="15"/>
                <w:szCs w:val="15"/>
                <w:color w:val="auto"/>
              </w:rPr>
            </w:pPr>
          </w:p>
        </w:tc>
        <w:tc>
          <w:tcPr>
            <w:tcW w:w="1200" w:type="dxa"/>
            <w:vAlign w:val="bottom"/>
            <w:tcBorders>
              <w:bottom w:val="single" w:sz="8" w:color="0033A0"/>
            </w:tcBorders>
          </w:tcPr>
          <w:p>
            <w:pPr>
              <w:spacing w:after="0"/>
              <w:rPr>
                <w:sz w:val="15"/>
                <w:szCs w:val="15"/>
                <w:color w:val="auto"/>
              </w:rPr>
            </w:pPr>
          </w:p>
        </w:tc>
        <w:tc>
          <w:tcPr>
            <w:tcW w:w="700" w:type="dxa"/>
            <w:vAlign w:val="bottom"/>
            <w:tcBorders>
              <w:bottom w:val="single" w:sz="8" w:color="0033A0"/>
              <w:right w:val="single" w:sz="8" w:color="0033A0"/>
            </w:tcBorders>
          </w:tcPr>
          <w:p>
            <w:pPr>
              <w:jc w:val="right"/>
              <w:ind w:right="1"/>
              <w:spacing w:after="0" w:line="175" w:lineRule="exact"/>
              <w:rPr>
                <w:sz w:val="20"/>
                <w:szCs w:val="20"/>
                <w:color w:val="auto"/>
              </w:rPr>
            </w:pPr>
            <w:r>
              <w:rPr>
                <w:rFonts w:ascii="Arial" w:cs="Arial" w:eastAsia="Arial" w:hAnsi="Arial"/>
                <w:sz w:val="13"/>
                <w:szCs w:val="13"/>
                <w:color w:val="auto"/>
              </w:rPr>
              <w:t>12,360</w:t>
            </w:r>
            <w:r>
              <w:rPr>
                <w:rFonts w:ascii="Arial" w:cs="Arial" w:eastAsia="Arial" w:hAnsi="Arial"/>
                <w:sz w:val="20"/>
                <w:szCs w:val="20"/>
                <w:color w:val="auto"/>
                <w:vertAlign w:val="superscript"/>
              </w:rPr>
              <w:t>(1)</w:t>
            </w:r>
          </w:p>
        </w:tc>
        <w:tc>
          <w:tcPr>
            <w:tcW w:w="2000" w:type="dxa"/>
            <w:vAlign w:val="bottom"/>
            <w:tcBorders>
              <w:bottom w:val="single" w:sz="8" w:color="0033A0"/>
              <w:right w:val="single" w:sz="8" w:color="0033A0"/>
            </w:tcBorders>
          </w:tcPr>
          <w:p>
            <w:pPr>
              <w:jc w:val="right"/>
              <w:ind w:right="48"/>
              <w:spacing w:after="0"/>
              <w:rPr>
                <w:sz w:val="20"/>
                <w:szCs w:val="20"/>
                <w:color w:val="auto"/>
              </w:rPr>
            </w:pPr>
            <w:r>
              <w:rPr>
                <w:rFonts w:ascii="Arial" w:cs="Arial" w:eastAsia="Arial" w:hAnsi="Arial"/>
                <w:sz w:val="14"/>
                <w:szCs w:val="14"/>
                <w:color w:val="auto"/>
              </w:rPr>
              <w:t>331,619</w:t>
            </w:r>
          </w:p>
        </w:tc>
        <w:tc>
          <w:tcPr>
            <w:tcW w:w="1980" w:type="dxa"/>
            <w:vAlign w:val="bottom"/>
            <w:tcBorders>
              <w:bottom w:val="single" w:sz="8" w:color="0033A0"/>
              <w:right w:val="single" w:sz="8" w:color="0033A0"/>
            </w:tcBorders>
          </w:tcPr>
          <w:p>
            <w:pPr>
              <w:jc w:val="right"/>
              <w:ind w:right="28"/>
              <w:spacing w:after="0"/>
              <w:rPr>
                <w:sz w:val="20"/>
                <w:szCs w:val="20"/>
                <w:color w:val="auto"/>
              </w:rPr>
            </w:pPr>
            <w:r>
              <w:rPr>
                <w:rFonts w:ascii="Arial" w:cs="Arial" w:eastAsia="Arial" w:hAnsi="Arial"/>
                <w:sz w:val="14"/>
                <w:szCs w:val="14"/>
                <w:color w:val="auto"/>
              </w:rPr>
              <w:t>18,541</w:t>
            </w:r>
          </w:p>
        </w:tc>
        <w:tc>
          <w:tcPr>
            <w:tcW w:w="2000" w:type="dxa"/>
            <w:vAlign w:val="bottom"/>
            <w:tcBorders>
              <w:bottom w:val="single" w:sz="8" w:color="0033A0"/>
              <w:right w:val="single" w:sz="8" w:color="0033A0"/>
            </w:tcBorders>
          </w:tcPr>
          <w:p>
            <w:pPr>
              <w:jc w:val="right"/>
              <w:ind w:right="28"/>
              <w:spacing w:after="0"/>
              <w:rPr>
                <w:sz w:val="20"/>
                <w:szCs w:val="20"/>
                <w:color w:val="auto"/>
              </w:rPr>
            </w:pPr>
            <w:r>
              <w:rPr>
                <w:rFonts w:ascii="Arial" w:cs="Arial" w:eastAsia="Arial" w:hAnsi="Arial"/>
                <w:sz w:val="14"/>
                <w:szCs w:val="14"/>
                <w:color w:val="auto"/>
              </w:rPr>
              <w:t>497,455</w:t>
            </w:r>
          </w:p>
        </w:tc>
        <w:tc>
          <w:tcPr>
            <w:tcW w:w="0" w:type="dxa"/>
            <w:vAlign w:val="bottom"/>
          </w:tcPr>
          <w:p>
            <w:pPr>
              <w:spacing w:after="0"/>
              <w:rPr>
                <w:sz w:val="1"/>
                <w:szCs w:val="1"/>
                <w:color w:val="auto"/>
              </w:rPr>
            </w:pPr>
          </w:p>
        </w:tc>
      </w:tr>
      <w:tr>
        <w:trPr>
          <w:trHeight w:val="156"/>
        </w:trPr>
        <w:tc>
          <w:tcPr>
            <w:tcW w:w="1680" w:type="dxa"/>
            <w:vAlign w:val="bottom"/>
            <w:tcBorders>
              <w:right w:val="single" w:sz="8" w:color="0033A0"/>
            </w:tcBorders>
            <w:shd w:val="clear" w:color="auto" w:fill="E6E6E6"/>
          </w:tcPr>
          <w:p>
            <w:pPr>
              <w:jc w:val="center"/>
              <w:spacing w:after="0" w:line="149" w:lineRule="exact"/>
              <w:rPr>
                <w:sz w:val="20"/>
                <w:szCs w:val="20"/>
                <w:color w:val="auto"/>
              </w:rPr>
            </w:pPr>
            <w:r>
              <w:rPr>
                <w:rFonts w:ascii="Arial" w:cs="Arial" w:eastAsia="Arial" w:hAnsi="Arial"/>
                <w:sz w:val="14"/>
                <w:szCs w:val="14"/>
                <w:color w:val="auto"/>
              </w:rPr>
              <w:t>3/15/2021</w:t>
            </w:r>
          </w:p>
        </w:tc>
        <w:tc>
          <w:tcPr>
            <w:tcW w:w="200" w:type="dxa"/>
            <w:vAlign w:val="bottom"/>
            <w:shd w:val="clear" w:color="auto" w:fill="E6E6E6"/>
          </w:tcPr>
          <w:p>
            <w:pPr>
              <w:spacing w:after="0"/>
              <w:rPr>
                <w:sz w:val="13"/>
                <w:szCs w:val="13"/>
                <w:color w:val="auto"/>
              </w:rPr>
            </w:pPr>
          </w:p>
        </w:tc>
        <w:tc>
          <w:tcPr>
            <w:tcW w:w="1200" w:type="dxa"/>
            <w:vAlign w:val="bottom"/>
            <w:shd w:val="clear" w:color="auto" w:fill="E6E6E6"/>
          </w:tcPr>
          <w:p>
            <w:pPr>
              <w:spacing w:after="0"/>
              <w:rPr>
                <w:sz w:val="13"/>
                <w:szCs w:val="13"/>
                <w:color w:val="auto"/>
              </w:rPr>
            </w:pPr>
          </w:p>
        </w:tc>
        <w:tc>
          <w:tcPr>
            <w:tcW w:w="700" w:type="dxa"/>
            <w:vAlign w:val="bottom"/>
            <w:tcBorders>
              <w:right w:val="single" w:sz="8" w:color="0033A0"/>
            </w:tcBorders>
            <w:shd w:val="clear" w:color="auto" w:fill="E6E6E6"/>
          </w:tcPr>
          <w:p>
            <w:pPr>
              <w:jc w:val="right"/>
              <w:ind w:right="1"/>
              <w:spacing w:after="0" w:line="150" w:lineRule="exact"/>
              <w:rPr>
                <w:sz w:val="20"/>
                <w:szCs w:val="20"/>
                <w:color w:val="auto"/>
              </w:rPr>
            </w:pPr>
            <w:r>
              <w:rPr>
                <w:rFonts w:ascii="Arial" w:cs="Arial" w:eastAsia="Arial" w:hAnsi="Arial"/>
                <w:sz w:val="11"/>
                <w:szCs w:val="11"/>
                <w:color w:val="auto"/>
              </w:rPr>
              <w:t>1,144</w:t>
            </w:r>
            <w:r>
              <w:rPr>
                <w:rFonts w:ascii="Arial" w:cs="Arial" w:eastAsia="Arial" w:hAnsi="Arial"/>
                <w:sz w:val="17"/>
                <w:szCs w:val="17"/>
                <w:color w:val="auto"/>
                <w:vertAlign w:val="superscript"/>
              </w:rPr>
              <w:t>(1)</w:t>
            </w:r>
          </w:p>
        </w:tc>
        <w:tc>
          <w:tcPr>
            <w:tcW w:w="2000" w:type="dxa"/>
            <w:vAlign w:val="bottom"/>
            <w:tcBorders>
              <w:right w:val="single" w:sz="8" w:color="0033A0"/>
            </w:tcBorders>
            <w:shd w:val="clear" w:color="auto" w:fill="E6E6E6"/>
          </w:tcPr>
          <w:p>
            <w:pPr>
              <w:jc w:val="right"/>
              <w:ind w:right="48"/>
              <w:spacing w:after="0" w:line="149" w:lineRule="exact"/>
              <w:rPr>
                <w:sz w:val="20"/>
                <w:szCs w:val="20"/>
                <w:color w:val="auto"/>
              </w:rPr>
            </w:pPr>
            <w:r>
              <w:rPr>
                <w:rFonts w:ascii="Arial" w:cs="Arial" w:eastAsia="Arial" w:hAnsi="Arial"/>
                <w:sz w:val="14"/>
                <w:szCs w:val="14"/>
                <w:color w:val="auto"/>
              </w:rPr>
              <w:t>30,694</w:t>
            </w:r>
          </w:p>
        </w:tc>
        <w:tc>
          <w:tcPr>
            <w:tcW w:w="1980" w:type="dxa"/>
            <w:vAlign w:val="bottom"/>
            <w:tcBorders>
              <w:right w:val="single" w:sz="8" w:color="0033A0"/>
            </w:tcBorders>
            <w:shd w:val="clear" w:color="auto" w:fill="E6E6E6"/>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000" w:type="dxa"/>
            <w:vAlign w:val="bottom"/>
            <w:tcBorders>
              <w:right w:val="single" w:sz="8" w:color="0033A0"/>
            </w:tcBorders>
            <w:shd w:val="clear" w:color="auto" w:fill="E6E6E6"/>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1680" w:type="dxa"/>
            <w:vAlign w:val="bottom"/>
            <w:tcBorders>
              <w:right w:val="single" w:sz="8" w:color="0033A0"/>
            </w:tcBorders>
          </w:tcPr>
          <w:p>
            <w:pPr>
              <w:jc w:val="center"/>
              <w:spacing w:after="0" w:line="149" w:lineRule="exact"/>
              <w:rPr>
                <w:sz w:val="20"/>
                <w:szCs w:val="20"/>
                <w:color w:val="auto"/>
              </w:rPr>
            </w:pPr>
            <w:r>
              <w:rPr>
                <w:rFonts w:ascii="Arial" w:cs="Arial" w:eastAsia="Arial" w:hAnsi="Arial"/>
                <w:sz w:val="14"/>
                <w:szCs w:val="14"/>
                <w:color w:val="auto"/>
              </w:rPr>
              <w:t>3/14/2022</w:t>
            </w:r>
          </w:p>
        </w:tc>
        <w:tc>
          <w:tcPr>
            <w:tcW w:w="200" w:type="dxa"/>
            <w:vAlign w:val="bottom"/>
            <w:shd w:val="clear" w:color="auto" w:fill="E6E6E6"/>
          </w:tcPr>
          <w:p>
            <w:pPr>
              <w:spacing w:after="0"/>
              <w:rPr>
                <w:sz w:val="13"/>
                <w:szCs w:val="13"/>
                <w:color w:val="auto"/>
              </w:rPr>
            </w:pPr>
          </w:p>
        </w:tc>
        <w:tc>
          <w:tcPr>
            <w:tcW w:w="1200" w:type="dxa"/>
            <w:vAlign w:val="bottom"/>
            <w:shd w:val="clear" w:color="auto" w:fill="E6E6E6"/>
          </w:tcPr>
          <w:p>
            <w:pPr>
              <w:spacing w:after="0"/>
              <w:rPr>
                <w:sz w:val="13"/>
                <w:szCs w:val="13"/>
                <w:color w:val="auto"/>
              </w:rPr>
            </w:pPr>
          </w:p>
        </w:tc>
        <w:tc>
          <w:tcPr>
            <w:tcW w:w="700" w:type="dxa"/>
            <w:vAlign w:val="bottom"/>
            <w:tcBorders>
              <w:right w:val="single" w:sz="8" w:color="0033A0"/>
            </w:tcBorders>
            <w:shd w:val="clear" w:color="auto" w:fill="E6E6E6"/>
          </w:tcPr>
          <w:p>
            <w:pPr>
              <w:jc w:val="right"/>
              <w:ind w:right="1"/>
              <w:spacing w:after="0" w:line="150" w:lineRule="exact"/>
              <w:rPr>
                <w:sz w:val="20"/>
                <w:szCs w:val="20"/>
                <w:color w:val="auto"/>
              </w:rPr>
            </w:pPr>
            <w:r>
              <w:rPr>
                <w:rFonts w:ascii="Arial" w:cs="Arial" w:eastAsia="Arial" w:hAnsi="Arial"/>
                <w:sz w:val="11"/>
                <w:szCs w:val="11"/>
                <w:color w:val="auto"/>
              </w:rPr>
              <w:t>4,341</w:t>
            </w:r>
            <w:r>
              <w:rPr>
                <w:rFonts w:ascii="Arial" w:cs="Arial" w:eastAsia="Arial" w:hAnsi="Arial"/>
                <w:sz w:val="17"/>
                <w:szCs w:val="17"/>
                <w:color w:val="auto"/>
                <w:vertAlign w:val="superscript"/>
              </w:rPr>
              <w:t>(1)</w:t>
            </w:r>
          </w:p>
        </w:tc>
        <w:tc>
          <w:tcPr>
            <w:tcW w:w="2000" w:type="dxa"/>
            <w:vAlign w:val="bottom"/>
            <w:tcBorders>
              <w:right w:val="single" w:sz="8" w:color="0033A0"/>
            </w:tcBorders>
            <w:shd w:val="clear" w:color="auto" w:fill="E6E6E6"/>
          </w:tcPr>
          <w:p>
            <w:pPr>
              <w:jc w:val="right"/>
              <w:ind w:right="48"/>
              <w:spacing w:after="0" w:line="149" w:lineRule="exact"/>
              <w:rPr>
                <w:sz w:val="20"/>
                <w:szCs w:val="20"/>
                <w:color w:val="auto"/>
              </w:rPr>
            </w:pPr>
            <w:r>
              <w:rPr>
                <w:rFonts w:ascii="Arial" w:cs="Arial" w:eastAsia="Arial" w:hAnsi="Arial"/>
                <w:sz w:val="14"/>
                <w:szCs w:val="14"/>
                <w:color w:val="auto"/>
              </w:rPr>
              <w:t>116,469</w:t>
            </w:r>
          </w:p>
        </w:tc>
        <w:tc>
          <w:tcPr>
            <w:tcW w:w="1980" w:type="dxa"/>
            <w:vAlign w:val="bottom"/>
            <w:tcBorders>
              <w:right w:val="single" w:sz="8" w:color="0033A0"/>
            </w:tcBorders>
            <w:shd w:val="clear" w:color="auto" w:fill="E6E6E6"/>
          </w:tcPr>
          <w:p>
            <w:pPr>
              <w:jc w:val="right"/>
              <w:ind w:right="28"/>
              <w:spacing w:after="0" w:line="149" w:lineRule="exact"/>
              <w:rPr>
                <w:sz w:val="20"/>
                <w:szCs w:val="20"/>
                <w:color w:val="auto"/>
              </w:rPr>
            </w:pPr>
            <w:r>
              <w:rPr>
                <w:rFonts w:ascii="Arial" w:cs="Arial" w:eastAsia="Arial" w:hAnsi="Arial"/>
                <w:sz w:val="14"/>
                <w:szCs w:val="14"/>
                <w:color w:val="auto"/>
              </w:rPr>
              <w:t>8,683</w:t>
            </w:r>
          </w:p>
        </w:tc>
        <w:tc>
          <w:tcPr>
            <w:tcW w:w="2000" w:type="dxa"/>
            <w:vAlign w:val="bottom"/>
            <w:tcBorders>
              <w:right w:val="single" w:sz="8" w:color="0033A0"/>
            </w:tcBorders>
            <w:shd w:val="clear" w:color="auto" w:fill="E6E6E6"/>
          </w:tcPr>
          <w:p>
            <w:pPr>
              <w:jc w:val="right"/>
              <w:ind w:right="28"/>
              <w:spacing w:after="0" w:line="149" w:lineRule="exact"/>
              <w:rPr>
                <w:sz w:val="20"/>
                <w:szCs w:val="20"/>
                <w:color w:val="auto"/>
              </w:rPr>
            </w:pPr>
            <w:r>
              <w:rPr>
                <w:rFonts w:ascii="Arial" w:cs="Arial" w:eastAsia="Arial" w:hAnsi="Arial"/>
                <w:sz w:val="14"/>
                <w:szCs w:val="14"/>
                <w:color w:val="auto"/>
              </w:rPr>
              <w:t>232,965</w:t>
            </w:r>
          </w:p>
        </w:tc>
        <w:tc>
          <w:tcPr>
            <w:tcW w:w="0" w:type="dxa"/>
            <w:vAlign w:val="bottom"/>
          </w:tcPr>
          <w:p>
            <w:pPr>
              <w:spacing w:after="0"/>
              <w:rPr>
                <w:sz w:val="1"/>
                <w:szCs w:val="1"/>
                <w:color w:val="auto"/>
              </w:rPr>
            </w:pPr>
          </w:p>
        </w:tc>
      </w:tr>
      <w:tr>
        <w:trPr>
          <w:trHeight w:val="162"/>
        </w:trPr>
        <w:tc>
          <w:tcPr>
            <w:tcW w:w="1680" w:type="dxa"/>
            <w:vAlign w:val="bottom"/>
            <w:tcBorders>
              <w:right w:val="single" w:sz="8" w:color="0033A0"/>
            </w:tcBorders>
          </w:tcPr>
          <w:p>
            <w:pPr>
              <w:jc w:val="center"/>
              <w:spacing w:after="0"/>
              <w:rPr>
                <w:sz w:val="20"/>
                <w:szCs w:val="20"/>
                <w:color w:val="auto"/>
              </w:rPr>
            </w:pPr>
            <w:r>
              <w:rPr>
                <w:rFonts w:ascii="Arial" w:cs="Arial" w:eastAsia="Arial" w:hAnsi="Arial"/>
                <w:sz w:val="14"/>
                <w:szCs w:val="14"/>
                <w:color w:val="auto"/>
              </w:rPr>
              <w:t>3/14/2023</w:t>
            </w:r>
          </w:p>
        </w:tc>
        <w:tc>
          <w:tcPr>
            <w:tcW w:w="200" w:type="dxa"/>
            <w:vAlign w:val="bottom"/>
            <w:shd w:val="clear" w:color="auto" w:fill="E6E6E6"/>
          </w:tcPr>
          <w:p>
            <w:pPr>
              <w:spacing w:after="0"/>
              <w:rPr>
                <w:sz w:val="14"/>
                <w:szCs w:val="14"/>
                <w:color w:val="auto"/>
              </w:rPr>
            </w:pPr>
          </w:p>
        </w:tc>
        <w:tc>
          <w:tcPr>
            <w:tcW w:w="1200" w:type="dxa"/>
            <w:vAlign w:val="bottom"/>
            <w:shd w:val="clear" w:color="auto" w:fill="E6E6E6"/>
          </w:tcPr>
          <w:p>
            <w:pPr>
              <w:spacing w:after="0"/>
              <w:rPr>
                <w:sz w:val="14"/>
                <w:szCs w:val="14"/>
                <w:color w:val="auto"/>
              </w:rPr>
            </w:pPr>
          </w:p>
        </w:tc>
        <w:tc>
          <w:tcPr>
            <w:tcW w:w="700" w:type="dxa"/>
            <w:vAlign w:val="bottom"/>
            <w:tcBorders>
              <w:right w:val="single" w:sz="8" w:color="0033A0"/>
            </w:tcBorders>
            <w:shd w:val="clear" w:color="auto" w:fill="E6E6E6"/>
          </w:tcPr>
          <w:p>
            <w:pPr>
              <w:jc w:val="right"/>
              <w:ind w:right="1"/>
              <w:spacing w:after="0" w:line="162" w:lineRule="exact"/>
              <w:rPr>
                <w:sz w:val="20"/>
                <w:szCs w:val="20"/>
                <w:color w:val="auto"/>
              </w:rPr>
            </w:pPr>
            <w:r>
              <w:rPr>
                <w:rFonts w:ascii="Arial" w:cs="Arial" w:eastAsia="Arial" w:hAnsi="Arial"/>
                <w:sz w:val="12"/>
                <w:szCs w:val="12"/>
                <w:color w:val="auto"/>
              </w:rPr>
              <w:t>4,950</w:t>
            </w:r>
            <w:r>
              <w:rPr>
                <w:rFonts w:ascii="Arial" w:cs="Arial" w:eastAsia="Arial" w:hAnsi="Arial"/>
                <w:sz w:val="18"/>
                <w:szCs w:val="18"/>
                <w:color w:val="auto"/>
                <w:vertAlign w:val="superscript"/>
              </w:rPr>
              <w:t>(1)</w:t>
            </w:r>
          </w:p>
        </w:tc>
        <w:tc>
          <w:tcPr>
            <w:tcW w:w="2000" w:type="dxa"/>
            <w:vAlign w:val="bottom"/>
            <w:tcBorders>
              <w:right w:val="single" w:sz="8" w:color="0033A0"/>
            </w:tcBorders>
            <w:shd w:val="clear" w:color="auto" w:fill="E6E6E6"/>
          </w:tcPr>
          <w:p>
            <w:pPr>
              <w:jc w:val="right"/>
              <w:ind w:right="48"/>
              <w:spacing w:after="0"/>
              <w:rPr>
                <w:sz w:val="20"/>
                <w:szCs w:val="20"/>
                <w:color w:val="auto"/>
              </w:rPr>
            </w:pPr>
            <w:r>
              <w:rPr>
                <w:rFonts w:ascii="Arial" w:cs="Arial" w:eastAsia="Arial" w:hAnsi="Arial"/>
                <w:sz w:val="14"/>
                <w:szCs w:val="14"/>
                <w:color w:val="auto"/>
              </w:rPr>
              <w:t>132,809</w:t>
            </w:r>
          </w:p>
        </w:tc>
        <w:tc>
          <w:tcPr>
            <w:tcW w:w="1980" w:type="dxa"/>
            <w:vAlign w:val="bottom"/>
            <w:tcBorders>
              <w:right w:val="single" w:sz="8" w:color="0033A0"/>
            </w:tcBorders>
            <w:shd w:val="clear" w:color="auto" w:fill="E6E6E6"/>
          </w:tcPr>
          <w:p>
            <w:pPr>
              <w:jc w:val="right"/>
              <w:ind w:right="28"/>
              <w:spacing w:after="0"/>
              <w:rPr>
                <w:sz w:val="20"/>
                <w:szCs w:val="20"/>
                <w:color w:val="auto"/>
              </w:rPr>
            </w:pPr>
            <w:r>
              <w:rPr>
                <w:rFonts w:ascii="Arial" w:cs="Arial" w:eastAsia="Arial" w:hAnsi="Arial"/>
                <w:sz w:val="14"/>
                <w:szCs w:val="14"/>
                <w:color w:val="auto"/>
              </w:rPr>
              <w:t>9,900</w:t>
            </w:r>
          </w:p>
        </w:tc>
        <w:tc>
          <w:tcPr>
            <w:tcW w:w="2000" w:type="dxa"/>
            <w:vAlign w:val="bottom"/>
            <w:tcBorders>
              <w:right w:val="single" w:sz="8" w:color="0033A0"/>
            </w:tcBorders>
            <w:shd w:val="clear" w:color="auto" w:fill="E6E6E6"/>
          </w:tcPr>
          <w:p>
            <w:pPr>
              <w:jc w:val="right"/>
              <w:ind w:right="28"/>
              <w:spacing w:after="0"/>
              <w:rPr>
                <w:sz w:val="20"/>
                <w:szCs w:val="20"/>
                <w:color w:val="auto"/>
              </w:rPr>
            </w:pPr>
            <w:r>
              <w:rPr>
                <w:rFonts w:ascii="Arial" w:cs="Arial" w:eastAsia="Arial" w:hAnsi="Arial"/>
                <w:sz w:val="14"/>
                <w:szCs w:val="14"/>
                <w:color w:val="auto"/>
              </w:rPr>
              <w:t>265,617</w:t>
            </w:r>
          </w:p>
        </w:tc>
        <w:tc>
          <w:tcPr>
            <w:tcW w:w="0" w:type="dxa"/>
            <w:vAlign w:val="bottom"/>
          </w:tcPr>
          <w:p>
            <w:pPr>
              <w:spacing w:after="0"/>
              <w:rPr>
                <w:sz w:val="1"/>
                <w:szCs w:val="1"/>
                <w:color w:val="auto"/>
              </w:rPr>
            </w:pPr>
          </w:p>
        </w:tc>
      </w:tr>
      <w:tr>
        <w:trPr>
          <w:trHeight w:val="174"/>
        </w:trPr>
        <w:tc>
          <w:tcPr>
            <w:tcW w:w="1680" w:type="dxa"/>
            <w:vAlign w:val="bottom"/>
            <w:tcBorders>
              <w:bottom w:val="single" w:sz="8" w:color="0033A0"/>
              <w:right w:val="single" w:sz="8" w:color="0033A0"/>
            </w:tcBorders>
          </w:tcPr>
          <w:p>
            <w:pPr>
              <w:jc w:val="center"/>
              <w:spacing w:after="0"/>
              <w:rPr>
                <w:sz w:val="20"/>
                <w:szCs w:val="20"/>
                <w:color w:val="auto"/>
              </w:rPr>
            </w:pPr>
            <w:r>
              <w:rPr>
                <w:rFonts w:ascii="Arial" w:cs="Arial" w:eastAsia="Arial" w:hAnsi="Arial"/>
                <w:sz w:val="14"/>
                <w:szCs w:val="14"/>
                <w:color w:val="auto"/>
              </w:rPr>
              <w:t>3/12/2024</w:t>
            </w:r>
          </w:p>
        </w:tc>
        <w:tc>
          <w:tcPr>
            <w:tcW w:w="200" w:type="dxa"/>
            <w:vAlign w:val="bottom"/>
            <w:tcBorders>
              <w:bottom w:val="single" w:sz="8" w:color="0033A0"/>
            </w:tcBorders>
            <w:shd w:val="clear" w:color="auto" w:fill="E6E6E6"/>
          </w:tcPr>
          <w:p>
            <w:pPr>
              <w:spacing w:after="0"/>
              <w:rPr>
                <w:sz w:val="15"/>
                <w:szCs w:val="15"/>
                <w:color w:val="auto"/>
              </w:rPr>
            </w:pPr>
          </w:p>
        </w:tc>
        <w:tc>
          <w:tcPr>
            <w:tcW w:w="1200" w:type="dxa"/>
            <w:vAlign w:val="bottom"/>
            <w:tcBorders>
              <w:bottom w:val="single" w:sz="8" w:color="0033A0"/>
            </w:tcBorders>
            <w:shd w:val="clear" w:color="auto" w:fill="E6E6E6"/>
          </w:tcPr>
          <w:p>
            <w:pPr>
              <w:spacing w:after="0"/>
              <w:rPr>
                <w:sz w:val="15"/>
                <w:szCs w:val="15"/>
                <w:color w:val="auto"/>
              </w:rPr>
            </w:pPr>
          </w:p>
        </w:tc>
        <w:tc>
          <w:tcPr>
            <w:tcW w:w="700" w:type="dxa"/>
            <w:vAlign w:val="bottom"/>
            <w:tcBorders>
              <w:bottom w:val="single" w:sz="8" w:color="0033A0"/>
              <w:right w:val="single" w:sz="8" w:color="0033A0"/>
            </w:tcBorders>
            <w:shd w:val="clear" w:color="auto" w:fill="E6E6E6"/>
          </w:tcPr>
          <w:p>
            <w:pPr>
              <w:jc w:val="right"/>
              <w:ind w:right="1"/>
              <w:spacing w:after="0" w:line="175" w:lineRule="exact"/>
              <w:rPr>
                <w:sz w:val="20"/>
                <w:szCs w:val="20"/>
                <w:color w:val="auto"/>
              </w:rPr>
            </w:pPr>
            <w:r>
              <w:rPr>
                <w:rFonts w:ascii="Arial" w:cs="Arial" w:eastAsia="Arial" w:hAnsi="Arial"/>
                <w:sz w:val="13"/>
                <w:szCs w:val="13"/>
                <w:color w:val="auto"/>
              </w:rPr>
              <w:t>6,600</w:t>
            </w:r>
            <w:r>
              <w:rPr>
                <w:rFonts w:ascii="Arial" w:cs="Arial" w:eastAsia="Arial" w:hAnsi="Arial"/>
                <w:sz w:val="20"/>
                <w:szCs w:val="20"/>
                <w:color w:val="auto"/>
                <w:vertAlign w:val="superscript"/>
              </w:rPr>
              <w:t>(1)</w:t>
            </w:r>
          </w:p>
        </w:tc>
        <w:tc>
          <w:tcPr>
            <w:tcW w:w="2000" w:type="dxa"/>
            <w:vAlign w:val="bottom"/>
            <w:tcBorders>
              <w:bottom w:val="single" w:sz="8" w:color="0033A0"/>
              <w:right w:val="single" w:sz="8" w:color="0033A0"/>
            </w:tcBorders>
            <w:shd w:val="clear" w:color="auto" w:fill="E6E6E6"/>
          </w:tcPr>
          <w:p>
            <w:pPr>
              <w:jc w:val="right"/>
              <w:ind w:right="48"/>
              <w:spacing w:after="0"/>
              <w:rPr>
                <w:sz w:val="20"/>
                <w:szCs w:val="20"/>
                <w:color w:val="auto"/>
              </w:rPr>
            </w:pPr>
            <w:r>
              <w:rPr>
                <w:rFonts w:ascii="Arial" w:cs="Arial" w:eastAsia="Arial" w:hAnsi="Arial"/>
                <w:sz w:val="14"/>
                <w:szCs w:val="14"/>
                <w:color w:val="auto"/>
              </w:rPr>
              <w:t>177,078</w:t>
            </w:r>
          </w:p>
        </w:tc>
        <w:tc>
          <w:tcPr>
            <w:tcW w:w="1980" w:type="dxa"/>
            <w:vAlign w:val="bottom"/>
            <w:tcBorders>
              <w:bottom w:val="single" w:sz="8" w:color="0033A0"/>
              <w:right w:val="single" w:sz="8" w:color="0033A0"/>
            </w:tcBorders>
            <w:shd w:val="clear" w:color="auto" w:fill="E6E6E6"/>
          </w:tcPr>
          <w:p>
            <w:pPr>
              <w:jc w:val="right"/>
              <w:ind w:right="28"/>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0033A0"/>
              <w:right w:val="single" w:sz="8" w:color="0033A0"/>
            </w:tcBorders>
            <w:shd w:val="clear" w:color="auto" w:fill="E6E6E6"/>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sectPr>
          <w:pgSz w:w="11900" w:h="16838" w:orient="portrait"/>
          <w:cols w:equalWidth="0" w:num="2">
            <w:col w:w="940" w:space="540"/>
            <w:col w:w="9760"/>
          </w:cols>
          <w:pgMar w:left="320" w:top="122" w:right="339" w:bottom="1440" w:gutter="0" w:footer="0" w:header="0"/>
          <w:type w:val="continuous"/>
        </w:sectPr>
      </w:pPr>
    </w:p>
    <w:p>
      <w:pPr>
        <w:ind w:left="340" w:right="100" w:hanging="332"/>
        <w:spacing w:after="0" w:line="248"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RSUs awarded in 2023 or earlier vest and shares are issued in four equal annual installments over the four year period following the date of grant. RSUs awarded in 2024 vest and shares are issued in three equal annual installments over the three year period following the date of grant except for Mr. Kampfer’s 2024 RSUs which vested on the first anniversary of grant.</w:t>
      </w: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Based on a closing market price of Cohu’s common stock of $26.83 per share as reported on the Nasdaq Global Select Market on December 28, 2024.</w:t>
      </w:r>
    </w:p>
    <w:p>
      <w:pPr>
        <w:spacing w:after="0" w:line="1" w:lineRule="exact"/>
        <w:rPr>
          <w:rFonts w:ascii="Arial" w:cs="Arial" w:eastAsia="Arial" w:hAnsi="Arial"/>
          <w:sz w:val="14"/>
          <w:szCs w:val="14"/>
          <w:color w:val="auto"/>
        </w:rPr>
      </w:pPr>
    </w:p>
    <w:p>
      <w:pPr>
        <w:ind w:left="340" w:right="260" w:hanging="332"/>
        <w:spacing w:after="0" w:line="241"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Reflects PSUs granted under the 2022, 2023 and 2024 PSU program at the target award level. PSUs granted in 2022, 2023 and 2024 may be earned at a level ranging from 0%-200% of the target award level on the third anniversary of their grant subject to continued service through the certification date.</w:t>
      </w:r>
    </w:p>
    <w:p>
      <w:pPr>
        <w:ind w:left="340" w:right="100" w:hanging="332"/>
        <w:spacing w:after="0" w:line="264"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Based on a closing price of Cohu’s common stock of $26.83 as reported on the Nasdaq Global Select Market on December 28, 2024. RSUs vest and shares are issued in four equal annual installments beginning one year after the date of grant.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2024 Option Exercise and Stock Vested Table</w:t>
      </w:r>
    </w:p>
    <w:p>
      <w:pPr>
        <w:spacing w:after="0" w:line="20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following table shows the value realized upon all stock awards vested and the value realized upon vesting by our NEOs during 2024. No stock options were exercised by our NEOs nor are any stock options outstanding in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Borders>
              <w:right w:val="single" w:sz="8" w:color="2D53A6"/>
            </w:tcBorders>
            <w:shd w:val="clear" w:color="auto" w:fill="2D53A6"/>
          </w:tcPr>
          <w:p>
            <w:pPr>
              <w:spacing w:after="0"/>
              <w:rPr>
                <w:sz w:val="19"/>
                <w:szCs w:val="19"/>
                <w:color w:val="auto"/>
              </w:rPr>
            </w:pPr>
          </w:p>
        </w:tc>
        <w:tc>
          <w:tcPr>
            <w:tcW w:w="120" w:type="dxa"/>
            <w:vAlign w:val="bottom"/>
            <w:shd w:val="clear" w:color="auto" w:fill="2D53A6"/>
          </w:tcPr>
          <w:p>
            <w:pPr>
              <w:spacing w:after="0"/>
              <w:rPr>
                <w:sz w:val="19"/>
                <w:szCs w:val="19"/>
                <w:color w:val="auto"/>
              </w:rPr>
            </w:pPr>
          </w:p>
        </w:tc>
        <w:tc>
          <w:tcPr>
            <w:tcW w:w="3240" w:type="dxa"/>
            <w:vAlign w:val="bottom"/>
            <w:tcBorders>
              <w:right w:val="single" w:sz="8" w:color="2D53A6"/>
            </w:tcBorders>
            <w:gridSpan w:val="3"/>
            <w:shd w:val="clear" w:color="auto" w:fill="2D53A6"/>
          </w:tcPr>
          <w:p>
            <w:pPr>
              <w:ind w:left="920"/>
              <w:spacing w:after="0"/>
              <w:rPr>
                <w:sz w:val="20"/>
                <w:szCs w:val="20"/>
                <w:color w:val="auto"/>
              </w:rPr>
            </w:pPr>
            <w:r>
              <w:rPr>
                <w:rFonts w:ascii="Arial" w:cs="Arial" w:eastAsia="Arial" w:hAnsi="Arial"/>
                <w:sz w:val="20"/>
                <w:szCs w:val="20"/>
                <w:b w:val="1"/>
                <w:bCs w:val="1"/>
                <w:color w:val="FFFFFF"/>
              </w:rPr>
              <w:t>Stock Awards</w:t>
            </w:r>
          </w:p>
        </w:tc>
        <w:tc>
          <w:tcPr>
            <w:tcW w:w="0" w:type="dxa"/>
            <w:vAlign w:val="bottom"/>
          </w:tcPr>
          <w:p>
            <w:pPr>
              <w:spacing w:after="0"/>
              <w:rPr>
                <w:sz w:val="1"/>
                <w:szCs w:val="1"/>
                <w:color w:val="auto"/>
              </w:rPr>
            </w:pPr>
          </w:p>
        </w:tc>
      </w:tr>
      <w:tr>
        <w:trPr>
          <w:trHeight w:val="206"/>
        </w:trPr>
        <w:tc>
          <w:tcPr>
            <w:tcW w:w="788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20"/>
                <w:szCs w:val="20"/>
                <w:b w:val="1"/>
                <w:bCs w:val="1"/>
                <w:color w:val="FFFFFF"/>
              </w:rPr>
              <w:t>Named Executive Officer</w:t>
            </w:r>
          </w:p>
        </w:tc>
        <w:tc>
          <w:tcPr>
            <w:tcW w:w="120" w:type="dxa"/>
            <w:vAlign w:val="bottom"/>
            <w:shd w:val="clear" w:color="auto" w:fill="2D53A6"/>
          </w:tcPr>
          <w:p>
            <w:pPr>
              <w:spacing w:after="0"/>
              <w:rPr>
                <w:sz w:val="17"/>
                <w:szCs w:val="17"/>
                <w:color w:val="auto"/>
              </w:rPr>
            </w:pPr>
          </w:p>
        </w:tc>
        <w:tc>
          <w:tcPr>
            <w:tcW w:w="1600" w:type="dxa"/>
            <w:vAlign w:val="bottom"/>
            <w:shd w:val="clear" w:color="auto" w:fill="2D53A6"/>
          </w:tcPr>
          <w:p>
            <w:pPr>
              <w:jc w:val="center"/>
              <w:ind w:right="41"/>
              <w:spacing w:after="0" w:line="206" w:lineRule="exact"/>
              <w:rPr>
                <w:sz w:val="20"/>
                <w:szCs w:val="20"/>
                <w:color w:val="auto"/>
              </w:rPr>
            </w:pPr>
            <w:r>
              <w:rPr>
                <w:rFonts w:ascii="Arial" w:cs="Arial" w:eastAsia="Arial" w:hAnsi="Arial"/>
                <w:sz w:val="20"/>
                <w:szCs w:val="20"/>
                <w:b w:val="1"/>
                <w:bCs w:val="1"/>
                <w:color w:val="FFFFFF"/>
                <w:w w:val="97"/>
              </w:rPr>
              <w:t>Number</w:t>
            </w:r>
          </w:p>
        </w:tc>
        <w:tc>
          <w:tcPr>
            <w:tcW w:w="1540" w:type="dxa"/>
            <w:vAlign w:val="bottom"/>
            <w:vMerge w:val="restart"/>
            <w:shd w:val="clear" w:color="auto" w:fill="2D53A6"/>
          </w:tcPr>
          <w:p>
            <w:pPr>
              <w:jc w:val="center"/>
              <w:spacing w:after="0"/>
              <w:rPr>
                <w:sz w:val="20"/>
                <w:szCs w:val="20"/>
                <w:color w:val="auto"/>
              </w:rPr>
            </w:pPr>
            <w:r>
              <w:rPr>
                <w:rFonts w:ascii="Arial" w:cs="Arial" w:eastAsia="Arial" w:hAnsi="Arial"/>
                <w:sz w:val="20"/>
                <w:szCs w:val="20"/>
                <w:b w:val="1"/>
                <w:bCs w:val="1"/>
                <w:color w:val="FFFFFF"/>
                <w:w w:val="98"/>
              </w:rPr>
              <w:t>Value Realized</w:t>
            </w:r>
          </w:p>
        </w:tc>
        <w:tc>
          <w:tcPr>
            <w:tcW w:w="100" w:type="dxa"/>
            <w:vAlign w:val="bottom"/>
            <w:tcBorders>
              <w:right w:val="single" w:sz="8" w:color="2D53A6"/>
            </w:tcBorders>
            <w:shd w:val="clear" w:color="auto" w:fill="2D53A6"/>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7880" w:type="dxa"/>
            <w:vAlign w:val="bottom"/>
            <w:tcBorders>
              <w:right w:val="single" w:sz="8" w:color="2D53A6"/>
            </w:tcBorders>
            <w:vMerge w:val="continue"/>
            <w:shd w:val="clear" w:color="auto" w:fill="2D53A6"/>
          </w:tcPr>
          <w:p>
            <w:pPr>
              <w:spacing w:after="0"/>
              <w:rPr>
                <w:sz w:val="9"/>
                <w:szCs w:val="9"/>
                <w:color w:val="auto"/>
              </w:rPr>
            </w:pPr>
          </w:p>
        </w:tc>
        <w:tc>
          <w:tcPr>
            <w:tcW w:w="120" w:type="dxa"/>
            <w:vAlign w:val="bottom"/>
            <w:shd w:val="clear" w:color="auto" w:fill="2D53A6"/>
          </w:tcPr>
          <w:p>
            <w:pPr>
              <w:spacing w:after="0"/>
              <w:rPr>
                <w:sz w:val="9"/>
                <w:szCs w:val="9"/>
                <w:color w:val="auto"/>
              </w:rPr>
            </w:pPr>
          </w:p>
        </w:tc>
        <w:tc>
          <w:tcPr>
            <w:tcW w:w="1600" w:type="dxa"/>
            <w:vAlign w:val="bottom"/>
            <w:vMerge w:val="restart"/>
            <w:shd w:val="clear" w:color="auto" w:fill="2D53A6"/>
          </w:tcPr>
          <w:p>
            <w:pPr>
              <w:jc w:val="center"/>
              <w:ind w:right="41"/>
              <w:spacing w:after="0" w:line="216" w:lineRule="exact"/>
              <w:rPr>
                <w:sz w:val="20"/>
                <w:szCs w:val="20"/>
                <w:color w:val="auto"/>
              </w:rPr>
            </w:pPr>
            <w:r>
              <w:rPr>
                <w:rFonts w:ascii="Arial" w:cs="Arial" w:eastAsia="Arial" w:hAnsi="Arial"/>
                <w:sz w:val="20"/>
                <w:szCs w:val="20"/>
                <w:b w:val="1"/>
                <w:bCs w:val="1"/>
                <w:color w:val="FFFFFF"/>
                <w:w w:val="98"/>
              </w:rPr>
              <w:t>of Shares</w:t>
            </w:r>
          </w:p>
        </w:tc>
        <w:tc>
          <w:tcPr>
            <w:tcW w:w="1540" w:type="dxa"/>
            <w:vAlign w:val="bottom"/>
            <w:vMerge w:val="continue"/>
            <w:shd w:val="clear" w:color="auto" w:fill="2D53A6"/>
          </w:tcPr>
          <w:p>
            <w:pPr>
              <w:spacing w:after="0"/>
              <w:rPr>
                <w:sz w:val="9"/>
                <w:szCs w:val="9"/>
                <w:color w:val="auto"/>
              </w:rPr>
            </w:pPr>
          </w:p>
        </w:tc>
        <w:tc>
          <w:tcPr>
            <w:tcW w:w="100" w:type="dxa"/>
            <w:vAlign w:val="bottom"/>
            <w:tcBorders>
              <w:right w:val="single" w:sz="8" w:color="2D53A6"/>
            </w:tcBorders>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880" w:type="dxa"/>
            <w:vAlign w:val="bottom"/>
            <w:tcBorders>
              <w:right w:val="single" w:sz="8" w:color="2D53A6"/>
            </w:tcBorders>
            <w:vMerge w:val="continue"/>
            <w:shd w:val="clear" w:color="auto" w:fill="2D53A6"/>
          </w:tcPr>
          <w:p>
            <w:pPr>
              <w:spacing w:after="0"/>
              <w:rPr>
                <w:sz w:val="9"/>
                <w:szCs w:val="9"/>
                <w:color w:val="auto"/>
              </w:rPr>
            </w:pPr>
          </w:p>
        </w:tc>
        <w:tc>
          <w:tcPr>
            <w:tcW w:w="120" w:type="dxa"/>
            <w:vAlign w:val="bottom"/>
            <w:shd w:val="clear" w:color="auto" w:fill="2D53A6"/>
          </w:tcPr>
          <w:p>
            <w:pPr>
              <w:spacing w:after="0"/>
              <w:rPr>
                <w:sz w:val="9"/>
                <w:szCs w:val="9"/>
                <w:color w:val="auto"/>
              </w:rPr>
            </w:pPr>
          </w:p>
        </w:tc>
        <w:tc>
          <w:tcPr>
            <w:tcW w:w="1600" w:type="dxa"/>
            <w:vAlign w:val="bottom"/>
            <w:vMerge w:val="continue"/>
            <w:shd w:val="clear" w:color="auto" w:fill="2D53A6"/>
          </w:tcPr>
          <w:p>
            <w:pPr>
              <w:spacing w:after="0"/>
              <w:rPr>
                <w:sz w:val="9"/>
                <w:szCs w:val="9"/>
                <w:color w:val="auto"/>
              </w:rPr>
            </w:pPr>
          </w:p>
        </w:tc>
        <w:tc>
          <w:tcPr>
            <w:tcW w:w="1540" w:type="dxa"/>
            <w:vAlign w:val="bottom"/>
            <w:vMerge w:val="restart"/>
            <w:shd w:val="clear" w:color="auto" w:fill="2D53A6"/>
          </w:tcPr>
          <w:p>
            <w:pPr>
              <w:jc w:val="center"/>
              <w:spacing w:after="0" w:line="223" w:lineRule="exact"/>
              <w:rPr>
                <w:sz w:val="20"/>
                <w:szCs w:val="20"/>
                <w:color w:val="auto"/>
              </w:rPr>
            </w:pPr>
            <w:r>
              <w:rPr>
                <w:rFonts w:ascii="Arial" w:cs="Arial" w:eastAsia="Arial" w:hAnsi="Arial"/>
                <w:sz w:val="20"/>
                <w:szCs w:val="20"/>
                <w:b w:val="1"/>
                <w:bCs w:val="1"/>
                <w:color w:val="FFFFFF"/>
                <w:w w:val="98"/>
              </w:rPr>
              <w:t>on Vesting ($)</w:t>
            </w:r>
          </w:p>
        </w:tc>
        <w:tc>
          <w:tcPr>
            <w:tcW w:w="100" w:type="dxa"/>
            <w:vAlign w:val="bottom"/>
            <w:tcBorders>
              <w:right w:val="single" w:sz="8" w:color="2D53A6"/>
            </w:tcBorders>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880" w:type="dxa"/>
            <w:vAlign w:val="bottom"/>
            <w:tcBorders>
              <w:right w:val="single" w:sz="8" w:color="2D53A6"/>
            </w:tcBorders>
            <w:shd w:val="clear" w:color="auto" w:fill="2D53A6"/>
          </w:tcPr>
          <w:p>
            <w:pPr>
              <w:spacing w:after="0"/>
              <w:rPr>
                <w:sz w:val="9"/>
                <w:szCs w:val="9"/>
                <w:color w:val="auto"/>
              </w:rPr>
            </w:pPr>
          </w:p>
        </w:tc>
        <w:tc>
          <w:tcPr>
            <w:tcW w:w="120" w:type="dxa"/>
            <w:vAlign w:val="bottom"/>
            <w:shd w:val="clear" w:color="auto" w:fill="2D53A6"/>
          </w:tcPr>
          <w:p>
            <w:pPr>
              <w:spacing w:after="0"/>
              <w:rPr>
                <w:sz w:val="9"/>
                <w:szCs w:val="9"/>
                <w:color w:val="auto"/>
              </w:rPr>
            </w:pPr>
          </w:p>
        </w:tc>
        <w:tc>
          <w:tcPr>
            <w:tcW w:w="1600" w:type="dxa"/>
            <w:vAlign w:val="bottom"/>
            <w:vMerge w:val="restart"/>
            <w:shd w:val="clear" w:color="auto" w:fill="2D53A6"/>
          </w:tcPr>
          <w:p>
            <w:pPr>
              <w:jc w:val="center"/>
              <w:ind w:right="21"/>
              <w:spacing w:after="0" w:line="216" w:lineRule="exact"/>
              <w:rPr>
                <w:sz w:val="20"/>
                <w:szCs w:val="20"/>
                <w:color w:val="auto"/>
              </w:rPr>
            </w:pPr>
            <w:r>
              <w:rPr>
                <w:rFonts w:ascii="Arial" w:cs="Arial" w:eastAsia="Arial" w:hAnsi="Arial"/>
                <w:sz w:val="20"/>
                <w:szCs w:val="20"/>
                <w:b w:val="1"/>
                <w:bCs w:val="1"/>
                <w:color w:val="FFFFFF"/>
                <w:w w:val="99"/>
              </w:rPr>
              <w:t>Acquired on</w:t>
            </w:r>
          </w:p>
        </w:tc>
        <w:tc>
          <w:tcPr>
            <w:tcW w:w="1540" w:type="dxa"/>
            <w:vAlign w:val="bottom"/>
            <w:vMerge w:val="continue"/>
            <w:shd w:val="clear" w:color="auto" w:fill="2D53A6"/>
          </w:tcPr>
          <w:p>
            <w:pPr>
              <w:spacing w:after="0"/>
              <w:rPr>
                <w:sz w:val="9"/>
                <w:szCs w:val="9"/>
                <w:color w:val="auto"/>
              </w:rPr>
            </w:pPr>
          </w:p>
        </w:tc>
        <w:tc>
          <w:tcPr>
            <w:tcW w:w="100" w:type="dxa"/>
            <w:vAlign w:val="bottom"/>
            <w:tcBorders>
              <w:right w:val="single" w:sz="8" w:color="2D53A6"/>
            </w:tcBorders>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7880" w:type="dxa"/>
            <w:vAlign w:val="bottom"/>
            <w:tcBorders>
              <w:right w:val="single" w:sz="8" w:color="2D53A6"/>
            </w:tcBorders>
            <w:shd w:val="clear" w:color="auto" w:fill="2D53A6"/>
          </w:tcPr>
          <w:p>
            <w:pPr>
              <w:spacing w:after="0"/>
              <w:rPr>
                <w:sz w:val="8"/>
                <w:szCs w:val="8"/>
                <w:color w:val="auto"/>
              </w:rPr>
            </w:pPr>
          </w:p>
        </w:tc>
        <w:tc>
          <w:tcPr>
            <w:tcW w:w="120" w:type="dxa"/>
            <w:vAlign w:val="bottom"/>
            <w:shd w:val="clear" w:color="auto" w:fill="2D53A6"/>
          </w:tcPr>
          <w:p>
            <w:pPr>
              <w:spacing w:after="0"/>
              <w:rPr>
                <w:sz w:val="8"/>
                <w:szCs w:val="8"/>
                <w:color w:val="auto"/>
              </w:rPr>
            </w:pPr>
          </w:p>
        </w:tc>
        <w:tc>
          <w:tcPr>
            <w:tcW w:w="1600" w:type="dxa"/>
            <w:vAlign w:val="bottom"/>
            <w:vMerge w:val="continue"/>
            <w:shd w:val="clear" w:color="auto" w:fill="2D53A6"/>
          </w:tcPr>
          <w:p>
            <w:pPr>
              <w:spacing w:after="0"/>
              <w:rPr>
                <w:sz w:val="8"/>
                <w:szCs w:val="8"/>
                <w:color w:val="auto"/>
              </w:rPr>
            </w:pPr>
          </w:p>
        </w:tc>
        <w:tc>
          <w:tcPr>
            <w:tcW w:w="1540" w:type="dxa"/>
            <w:vAlign w:val="bottom"/>
            <w:vMerge w:val="restart"/>
            <w:shd w:val="clear" w:color="auto" w:fill="2D53A6"/>
          </w:tcPr>
          <w:p>
            <w:pPr>
              <w:jc w:val="center"/>
              <w:spacing w:after="0"/>
              <w:rPr>
                <w:sz w:val="20"/>
                <w:szCs w:val="20"/>
                <w:color w:val="auto"/>
              </w:rPr>
            </w:pPr>
            <w:r>
              <w:rPr>
                <w:rFonts w:ascii="Arial" w:cs="Arial" w:eastAsia="Arial" w:hAnsi="Arial"/>
                <w:sz w:val="16"/>
                <w:szCs w:val="16"/>
                <w:b w:val="1"/>
                <w:bCs w:val="1"/>
                <w:color w:val="FFFFFF"/>
              </w:rPr>
              <w:t>(2)</w:t>
            </w:r>
          </w:p>
        </w:tc>
        <w:tc>
          <w:tcPr>
            <w:tcW w:w="100" w:type="dxa"/>
            <w:vAlign w:val="bottom"/>
            <w:tcBorders>
              <w:right w:val="single" w:sz="8" w:color="2D53A6"/>
            </w:tcBorders>
            <w:shd w:val="clear" w:color="auto" w:fill="2D53A6"/>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7880" w:type="dxa"/>
            <w:vAlign w:val="bottom"/>
            <w:tcBorders>
              <w:right w:val="single" w:sz="8" w:color="2D53A6"/>
            </w:tcBorders>
            <w:shd w:val="clear" w:color="auto" w:fill="2D53A6"/>
          </w:tcPr>
          <w:p>
            <w:pPr>
              <w:spacing w:after="0"/>
              <w:rPr>
                <w:sz w:val="10"/>
                <w:szCs w:val="10"/>
                <w:color w:val="auto"/>
              </w:rPr>
            </w:pPr>
          </w:p>
        </w:tc>
        <w:tc>
          <w:tcPr>
            <w:tcW w:w="120" w:type="dxa"/>
            <w:vAlign w:val="bottom"/>
            <w:shd w:val="clear" w:color="auto" w:fill="2D53A6"/>
          </w:tcPr>
          <w:p>
            <w:pPr>
              <w:spacing w:after="0"/>
              <w:rPr>
                <w:sz w:val="10"/>
                <w:szCs w:val="10"/>
                <w:color w:val="auto"/>
              </w:rPr>
            </w:pPr>
          </w:p>
        </w:tc>
        <w:tc>
          <w:tcPr>
            <w:tcW w:w="1600" w:type="dxa"/>
            <w:vAlign w:val="bottom"/>
            <w:vMerge w:val="restart"/>
            <w:shd w:val="clear" w:color="auto" w:fill="2D53A6"/>
          </w:tcPr>
          <w:p>
            <w:pPr>
              <w:jc w:val="center"/>
              <w:ind w:right="41"/>
              <w:spacing w:after="0"/>
              <w:rPr>
                <w:sz w:val="20"/>
                <w:szCs w:val="20"/>
                <w:color w:val="auto"/>
              </w:rPr>
            </w:pPr>
            <w:r>
              <w:rPr>
                <w:rFonts w:ascii="Arial" w:cs="Arial" w:eastAsia="Arial" w:hAnsi="Arial"/>
                <w:sz w:val="20"/>
                <w:szCs w:val="20"/>
                <w:b w:val="1"/>
                <w:bCs w:val="1"/>
                <w:color w:val="FFFFFF"/>
                <w:w w:val="98"/>
              </w:rPr>
              <w:t xml:space="preserve">Vesting (#) </w:t>
            </w:r>
            <w:r>
              <w:rPr>
                <w:rFonts w:ascii="Arial" w:cs="Arial" w:eastAsia="Arial" w:hAnsi="Arial"/>
                <w:sz w:val="16"/>
                <w:szCs w:val="16"/>
                <w:b w:val="1"/>
                <w:bCs w:val="1"/>
                <w:color w:val="FFFFFF"/>
                <w:w w:val="98"/>
              </w:rPr>
              <w:t>(1)</w:t>
            </w:r>
          </w:p>
        </w:tc>
        <w:tc>
          <w:tcPr>
            <w:tcW w:w="1540" w:type="dxa"/>
            <w:vAlign w:val="bottom"/>
            <w:vMerge w:val="continue"/>
            <w:shd w:val="clear" w:color="auto" w:fill="2D53A6"/>
          </w:tcPr>
          <w:p>
            <w:pPr>
              <w:spacing w:after="0"/>
              <w:rPr>
                <w:sz w:val="10"/>
                <w:szCs w:val="10"/>
                <w:color w:val="auto"/>
              </w:rPr>
            </w:pPr>
          </w:p>
        </w:tc>
        <w:tc>
          <w:tcPr>
            <w:tcW w:w="100" w:type="dxa"/>
            <w:vAlign w:val="bottom"/>
            <w:tcBorders>
              <w:right w:val="single" w:sz="8" w:color="2D53A6"/>
            </w:tcBorders>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880" w:type="dxa"/>
            <w:vAlign w:val="bottom"/>
            <w:tcBorders>
              <w:bottom w:val="single" w:sz="8" w:color="2D53A6"/>
              <w:right w:val="single" w:sz="8" w:color="2D53A6"/>
            </w:tcBorders>
            <w:shd w:val="clear" w:color="auto" w:fill="2D53A6"/>
          </w:tcPr>
          <w:p>
            <w:pPr>
              <w:spacing w:after="0"/>
              <w:rPr>
                <w:sz w:val="10"/>
                <w:szCs w:val="10"/>
                <w:color w:val="auto"/>
              </w:rPr>
            </w:pPr>
          </w:p>
        </w:tc>
        <w:tc>
          <w:tcPr>
            <w:tcW w:w="120" w:type="dxa"/>
            <w:vAlign w:val="bottom"/>
            <w:tcBorders>
              <w:bottom w:val="single" w:sz="8" w:color="0033A0"/>
            </w:tcBorders>
            <w:shd w:val="clear" w:color="auto" w:fill="2D53A6"/>
          </w:tcPr>
          <w:p>
            <w:pPr>
              <w:spacing w:after="0"/>
              <w:rPr>
                <w:sz w:val="10"/>
                <w:szCs w:val="10"/>
                <w:color w:val="auto"/>
              </w:rPr>
            </w:pPr>
          </w:p>
        </w:tc>
        <w:tc>
          <w:tcPr>
            <w:tcW w:w="1600" w:type="dxa"/>
            <w:vAlign w:val="bottom"/>
            <w:tcBorders>
              <w:bottom w:val="single" w:sz="8" w:color="0033A0"/>
            </w:tcBorders>
            <w:vMerge w:val="continue"/>
            <w:shd w:val="clear" w:color="auto" w:fill="2D53A6"/>
          </w:tcPr>
          <w:p>
            <w:pPr>
              <w:spacing w:after="0"/>
              <w:rPr>
                <w:sz w:val="10"/>
                <w:szCs w:val="10"/>
                <w:color w:val="auto"/>
              </w:rPr>
            </w:pPr>
          </w:p>
        </w:tc>
        <w:tc>
          <w:tcPr>
            <w:tcW w:w="1540" w:type="dxa"/>
            <w:vAlign w:val="bottom"/>
            <w:tcBorders>
              <w:bottom w:val="single" w:sz="8" w:color="0033A0"/>
            </w:tcBorders>
            <w:shd w:val="clear" w:color="auto" w:fill="2D53A6"/>
          </w:tcPr>
          <w:p>
            <w:pPr>
              <w:spacing w:after="0"/>
              <w:rPr>
                <w:sz w:val="10"/>
                <w:szCs w:val="10"/>
                <w:color w:val="auto"/>
              </w:rPr>
            </w:pPr>
          </w:p>
        </w:tc>
        <w:tc>
          <w:tcPr>
            <w:tcW w:w="100" w:type="dxa"/>
            <w:vAlign w:val="bottom"/>
            <w:tcBorders>
              <w:bottom w:val="single" w:sz="8" w:color="0033A0"/>
              <w:right w:val="single" w:sz="8" w:color="2D53A6"/>
            </w:tcBorders>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7880" w:type="dxa"/>
            <w:vAlign w:val="bottom"/>
            <w:tcBorders>
              <w:bottom w:val="single" w:sz="8" w:color="2D53A6"/>
              <w:right w:val="single" w:sz="8" w:color="2D53A6"/>
            </w:tcBorders>
          </w:tcPr>
          <w:p>
            <w:pPr>
              <w:spacing w:after="0" w:line="209" w:lineRule="exact"/>
              <w:rPr>
                <w:sz w:val="20"/>
                <w:szCs w:val="20"/>
                <w:color w:val="auto"/>
              </w:rPr>
            </w:pPr>
            <w:r>
              <w:rPr>
                <w:rFonts w:ascii="Arial" w:cs="Arial" w:eastAsia="Arial" w:hAnsi="Arial"/>
                <w:sz w:val="20"/>
                <w:szCs w:val="20"/>
                <w:color w:val="auto"/>
              </w:rPr>
              <w:t>Luis A. Müller</w:t>
            </w:r>
          </w:p>
        </w:tc>
        <w:tc>
          <w:tcPr>
            <w:tcW w:w="120" w:type="dxa"/>
            <w:vAlign w:val="bottom"/>
            <w:tcBorders>
              <w:bottom w:val="single" w:sz="8" w:color="2D53A6"/>
            </w:tcBorders>
          </w:tcPr>
          <w:p>
            <w:pPr>
              <w:spacing w:after="0"/>
              <w:rPr>
                <w:sz w:val="18"/>
                <w:szCs w:val="18"/>
                <w:color w:val="auto"/>
              </w:rPr>
            </w:pPr>
          </w:p>
        </w:tc>
        <w:tc>
          <w:tcPr>
            <w:tcW w:w="1600" w:type="dxa"/>
            <w:vAlign w:val="bottom"/>
            <w:tcBorders>
              <w:bottom w:val="single" w:sz="8" w:color="2D53A6"/>
            </w:tcBorders>
          </w:tcPr>
          <w:p>
            <w:pPr>
              <w:jc w:val="right"/>
              <w:ind w:right="21"/>
              <w:spacing w:after="0" w:line="209" w:lineRule="exact"/>
              <w:rPr>
                <w:sz w:val="20"/>
                <w:szCs w:val="20"/>
                <w:color w:val="auto"/>
              </w:rPr>
            </w:pPr>
            <w:r>
              <w:rPr>
                <w:rFonts w:ascii="Arial" w:cs="Arial" w:eastAsia="Arial" w:hAnsi="Arial"/>
                <w:sz w:val="20"/>
                <w:szCs w:val="20"/>
                <w:color w:val="auto"/>
              </w:rPr>
              <w:t>77,096</w:t>
            </w:r>
          </w:p>
        </w:tc>
        <w:tc>
          <w:tcPr>
            <w:tcW w:w="1640" w:type="dxa"/>
            <w:vAlign w:val="bottom"/>
            <w:tcBorders>
              <w:bottom w:val="single" w:sz="8" w:color="2D53A6"/>
            </w:tcBorders>
            <w:gridSpan w:val="2"/>
          </w:tcPr>
          <w:p>
            <w:pPr>
              <w:jc w:val="right"/>
              <w:ind w:right="100"/>
              <w:spacing w:after="0" w:line="209" w:lineRule="exact"/>
              <w:rPr>
                <w:sz w:val="20"/>
                <w:szCs w:val="20"/>
                <w:color w:val="auto"/>
              </w:rPr>
            </w:pPr>
            <w:r>
              <w:rPr>
                <w:rFonts w:ascii="Arial" w:cs="Arial" w:eastAsia="Arial" w:hAnsi="Arial"/>
                <w:sz w:val="20"/>
                <w:szCs w:val="20"/>
                <w:color w:val="auto"/>
              </w:rPr>
              <w:t>2,415,862</w:t>
            </w:r>
          </w:p>
        </w:tc>
        <w:tc>
          <w:tcPr>
            <w:tcW w:w="0" w:type="dxa"/>
            <w:vAlign w:val="bottom"/>
          </w:tcPr>
          <w:p>
            <w:pPr>
              <w:spacing w:after="0"/>
              <w:rPr>
                <w:sz w:val="1"/>
                <w:szCs w:val="1"/>
                <w:color w:val="auto"/>
              </w:rPr>
            </w:pPr>
          </w:p>
        </w:tc>
      </w:tr>
      <w:tr>
        <w:trPr>
          <w:trHeight w:val="209"/>
        </w:trPr>
        <w:tc>
          <w:tcPr>
            <w:tcW w:w="7880" w:type="dxa"/>
            <w:vAlign w:val="bottom"/>
            <w:tcBorders>
              <w:bottom w:val="single" w:sz="8" w:color="2D53A6"/>
              <w:right w:val="single" w:sz="8" w:color="2D53A6"/>
            </w:tcBorders>
            <w:shd w:val="clear" w:color="auto" w:fill="E6E6E6"/>
          </w:tcPr>
          <w:p>
            <w:pPr>
              <w:spacing w:after="0" w:line="209" w:lineRule="exact"/>
              <w:rPr>
                <w:sz w:val="20"/>
                <w:szCs w:val="20"/>
                <w:color w:val="auto"/>
              </w:rPr>
            </w:pPr>
            <w:r>
              <w:rPr>
                <w:rFonts w:ascii="Arial" w:cs="Arial" w:eastAsia="Arial" w:hAnsi="Arial"/>
                <w:sz w:val="20"/>
                <w:szCs w:val="20"/>
                <w:color w:val="auto"/>
              </w:rPr>
              <w:t>Jeffrey D. Jones</w:t>
            </w:r>
          </w:p>
        </w:tc>
        <w:tc>
          <w:tcPr>
            <w:tcW w:w="1720" w:type="dxa"/>
            <w:vAlign w:val="bottom"/>
            <w:tcBorders>
              <w:bottom w:val="single" w:sz="8" w:color="2D53A6"/>
            </w:tcBorders>
            <w:gridSpan w:val="2"/>
            <w:shd w:val="clear" w:color="auto" w:fill="E6E6E6"/>
          </w:tcPr>
          <w:p>
            <w:pPr>
              <w:jc w:val="right"/>
              <w:ind w:right="21"/>
              <w:spacing w:after="0" w:line="209" w:lineRule="exact"/>
              <w:rPr>
                <w:sz w:val="20"/>
                <w:szCs w:val="20"/>
                <w:color w:val="auto"/>
              </w:rPr>
            </w:pPr>
            <w:r>
              <w:rPr>
                <w:rFonts w:ascii="Arial" w:cs="Arial" w:eastAsia="Arial" w:hAnsi="Arial"/>
                <w:sz w:val="20"/>
                <w:szCs w:val="20"/>
                <w:color w:val="auto"/>
              </w:rPr>
              <w:t>25,289</w:t>
            </w:r>
          </w:p>
        </w:tc>
        <w:tc>
          <w:tcPr>
            <w:tcW w:w="1640" w:type="dxa"/>
            <w:vAlign w:val="bottom"/>
            <w:tcBorders>
              <w:bottom w:val="single" w:sz="8" w:color="2D53A6"/>
              <w:right w:val="single" w:sz="8" w:color="2D53A6"/>
            </w:tcBorders>
            <w:gridSpan w:val="2"/>
            <w:shd w:val="clear" w:color="auto" w:fill="E6E6E6"/>
          </w:tcPr>
          <w:p>
            <w:pPr>
              <w:jc w:val="right"/>
              <w:ind w:right="100"/>
              <w:spacing w:after="0" w:line="209" w:lineRule="exact"/>
              <w:rPr>
                <w:sz w:val="20"/>
                <w:szCs w:val="20"/>
                <w:color w:val="auto"/>
              </w:rPr>
            </w:pPr>
            <w:r>
              <w:rPr>
                <w:rFonts w:ascii="Arial" w:cs="Arial" w:eastAsia="Arial" w:hAnsi="Arial"/>
                <w:sz w:val="20"/>
                <w:szCs w:val="20"/>
                <w:color w:val="auto"/>
              </w:rPr>
              <w:t>792,469</w:t>
            </w:r>
          </w:p>
        </w:tc>
        <w:tc>
          <w:tcPr>
            <w:tcW w:w="0" w:type="dxa"/>
            <w:vAlign w:val="bottom"/>
          </w:tcPr>
          <w:p>
            <w:pPr>
              <w:spacing w:after="0"/>
              <w:rPr>
                <w:sz w:val="1"/>
                <w:szCs w:val="1"/>
                <w:color w:val="auto"/>
              </w:rPr>
            </w:pPr>
          </w:p>
        </w:tc>
      </w:tr>
      <w:tr>
        <w:trPr>
          <w:trHeight w:val="210"/>
        </w:trPr>
        <w:tc>
          <w:tcPr>
            <w:tcW w:w="7880" w:type="dxa"/>
            <w:vAlign w:val="bottom"/>
            <w:tcBorders>
              <w:bottom w:val="single" w:sz="8" w:color="2D53A6"/>
              <w:right w:val="single" w:sz="8" w:color="2D53A6"/>
            </w:tcBorders>
          </w:tcPr>
          <w:p>
            <w:pPr>
              <w:spacing w:after="0" w:line="209" w:lineRule="exact"/>
              <w:rPr>
                <w:sz w:val="20"/>
                <w:szCs w:val="20"/>
                <w:color w:val="auto"/>
              </w:rPr>
            </w:pPr>
            <w:r>
              <w:rPr>
                <w:rFonts w:ascii="Arial" w:cs="Arial" w:eastAsia="Arial" w:hAnsi="Arial"/>
                <w:sz w:val="20"/>
                <w:szCs w:val="20"/>
                <w:color w:val="auto"/>
              </w:rPr>
              <w:t>Christopher G. Bohrson</w:t>
            </w:r>
          </w:p>
        </w:tc>
        <w:tc>
          <w:tcPr>
            <w:tcW w:w="1720" w:type="dxa"/>
            <w:vAlign w:val="bottom"/>
            <w:tcBorders>
              <w:bottom w:val="single" w:sz="8" w:color="2D53A6"/>
            </w:tcBorders>
            <w:gridSpan w:val="2"/>
          </w:tcPr>
          <w:p>
            <w:pPr>
              <w:jc w:val="right"/>
              <w:ind w:right="21"/>
              <w:spacing w:after="0" w:line="209" w:lineRule="exact"/>
              <w:rPr>
                <w:sz w:val="20"/>
                <w:szCs w:val="20"/>
                <w:color w:val="auto"/>
              </w:rPr>
            </w:pPr>
            <w:r>
              <w:rPr>
                <w:rFonts w:ascii="Arial" w:cs="Arial" w:eastAsia="Arial" w:hAnsi="Arial"/>
                <w:sz w:val="20"/>
                <w:szCs w:val="20"/>
                <w:color w:val="auto"/>
              </w:rPr>
              <w:t>16,853</w:t>
            </w:r>
          </w:p>
        </w:tc>
        <w:tc>
          <w:tcPr>
            <w:tcW w:w="1640" w:type="dxa"/>
            <w:vAlign w:val="bottom"/>
            <w:tcBorders>
              <w:bottom w:val="single" w:sz="8" w:color="2D53A6"/>
              <w:right w:val="single" w:sz="8" w:color="2D53A6"/>
            </w:tcBorders>
            <w:gridSpan w:val="2"/>
          </w:tcPr>
          <w:p>
            <w:pPr>
              <w:jc w:val="right"/>
              <w:ind w:right="100"/>
              <w:spacing w:after="0" w:line="209" w:lineRule="exact"/>
              <w:rPr>
                <w:sz w:val="20"/>
                <w:szCs w:val="20"/>
                <w:color w:val="auto"/>
              </w:rPr>
            </w:pPr>
            <w:r>
              <w:rPr>
                <w:rFonts w:ascii="Arial" w:cs="Arial" w:eastAsia="Arial" w:hAnsi="Arial"/>
                <w:sz w:val="20"/>
                <w:szCs w:val="20"/>
                <w:color w:val="auto"/>
              </w:rPr>
              <w:t>527,978</w:t>
            </w:r>
          </w:p>
        </w:tc>
        <w:tc>
          <w:tcPr>
            <w:tcW w:w="0" w:type="dxa"/>
            <w:vAlign w:val="bottom"/>
          </w:tcPr>
          <w:p>
            <w:pPr>
              <w:spacing w:after="0"/>
              <w:rPr>
                <w:sz w:val="1"/>
                <w:szCs w:val="1"/>
                <w:color w:val="auto"/>
              </w:rPr>
            </w:pPr>
          </w:p>
        </w:tc>
      </w:tr>
      <w:tr>
        <w:trPr>
          <w:trHeight w:val="210"/>
        </w:trPr>
        <w:tc>
          <w:tcPr>
            <w:tcW w:w="7880" w:type="dxa"/>
            <w:vAlign w:val="bottom"/>
            <w:tcBorders>
              <w:bottom w:val="single" w:sz="8" w:color="2D53A6"/>
              <w:right w:val="single" w:sz="8" w:color="2D53A6"/>
            </w:tcBorders>
            <w:shd w:val="clear" w:color="auto" w:fill="E6E6E6"/>
          </w:tcPr>
          <w:p>
            <w:pPr>
              <w:spacing w:after="0" w:line="209" w:lineRule="exact"/>
              <w:rPr>
                <w:sz w:val="20"/>
                <w:szCs w:val="20"/>
                <w:color w:val="auto"/>
              </w:rPr>
            </w:pPr>
            <w:r>
              <w:rPr>
                <w:rFonts w:ascii="Arial" w:cs="Arial" w:eastAsia="Arial" w:hAnsi="Arial"/>
                <w:sz w:val="20"/>
                <w:szCs w:val="20"/>
                <w:color w:val="auto"/>
              </w:rPr>
              <w:t>Thomas D. Kampfer</w:t>
            </w:r>
          </w:p>
        </w:tc>
        <w:tc>
          <w:tcPr>
            <w:tcW w:w="1720" w:type="dxa"/>
            <w:vAlign w:val="bottom"/>
            <w:tcBorders>
              <w:bottom w:val="single" w:sz="8" w:color="2D53A6"/>
            </w:tcBorders>
            <w:gridSpan w:val="2"/>
            <w:shd w:val="clear" w:color="auto" w:fill="E6E6E6"/>
          </w:tcPr>
          <w:p>
            <w:pPr>
              <w:jc w:val="right"/>
              <w:ind w:right="21"/>
              <w:spacing w:after="0" w:line="209" w:lineRule="exact"/>
              <w:rPr>
                <w:sz w:val="20"/>
                <w:szCs w:val="20"/>
                <w:color w:val="auto"/>
              </w:rPr>
            </w:pPr>
            <w:r>
              <w:rPr>
                <w:rFonts w:ascii="Arial" w:cs="Arial" w:eastAsia="Arial" w:hAnsi="Arial"/>
                <w:sz w:val="20"/>
                <w:szCs w:val="20"/>
                <w:color w:val="auto"/>
              </w:rPr>
              <w:t>11,976</w:t>
            </w:r>
          </w:p>
        </w:tc>
        <w:tc>
          <w:tcPr>
            <w:tcW w:w="1640" w:type="dxa"/>
            <w:vAlign w:val="bottom"/>
            <w:tcBorders>
              <w:bottom w:val="single" w:sz="8" w:color="2D53A6"/>
              <w:right w:val="single" w:sz="8" w:color="2D53A6"/>
            </w:tcBorders>
            <w:gridSpan w:val="2"/>
            <w:shd w:val="clear" w:color="auto" w:fill="E6E6E6"/>
          </w:tcPr>
          <w:p>
            <w:pPr>
              <w:jc w:val="right"/>
              <w:ind w:right="100"/>
              <w:spacing w:after="0" w:line="209" w:lineRule="exact"/>
              <w:rPr>
                <w:sz w:val="20"/>
                <w:szCs w:val="20"/>
                <w:color w:val="auto"/>
              </w:rPr>
            </w:pPr>
            <w:r>
              <w:rPr>
                <w:rFonts w:ascii="Arial" w:cs="Arial" w:eastAsia="Arial" w:hAnsi="Arial"/>
                <w:sz w:val="20"/>
                <w:szCs w:val="20"/>
                <w:color w:val="auto"/>
              </w:rPr>
              <w:t>375,285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-1152525</wp:posOffset>
            </wp:positionV>
            <wp:extent cx="33655" cy="7283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72834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-1152525</wp:posOffset>
            </wp:positionV>
            <wp:extent cx="33655" cy="11652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1165225"/>
                    </a:xfrm>
                    <a:prstGeom prst="rect">
                      <a:avLst/>
                    </a:prstGeom>
                    <a:noFill/>
                  </pic:spPr>
                </pic:pic>
              </a:graphicData>
            </a:graphic>
          </wp:anchor>
        </w:drawing>
      </w:r>
    </w:p>
    <w:p>
      <w:pPr>
        <w:spacing w:after="0" w:line="173" w:lineRule="exact"/>
        <w:rPr>
          <w:sz w:val="20"/>
          <w:szCs w:val="20"/>
          <w:color w:val="auto"/>
        </w:rPr>
      </w:pPr>
    </w:p>
    <w:p>
      <w:pPr>
        <w:ind w:left="340" w:hanging="332"/>
        <w:spacing w:after="0" w:line="25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Number of shares acquired on vesting is before reduction for shares withheld to cover tax withholding. Cohu withheld the following number of shares for tax withholding: Dr. Müller, 35,363 shares; Mr. Jones, 13,267 shares; Mr. Bohrson, 8,842 shares and Mr. Kampfer, 6,072 shares.</w:t>
      </w:r>
    </w:p>
    <w:p>
      <w:pPr>
        <w:spacing w:after="0" w:line="1" w:lineRule="exact"/>
        <w:rPr>
          <w:rFonts w:ascii="Arial" w:cs="Arial" w:eastAsia="Arial" w:hAnsi="Arial"/>
          <w:sz w:val="14"/>
          <w:szCs w:val="14"/>
          <w:color w:val="auto"/>
        </w:rPr>
      </w:pPr>
    </w:p>
    <w:p>
      <w:pPr>
        <w:ind w:left="340" w:right="240" w:hanging="332"/>
        <w:spacing w:after="0" w:line="264"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value realized equals the number of units that vested multiplied by the per-share closing price of Cohu’s common stock on the vesting date. Amounts presented are gross amounts before required tax withholding.</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2024 Nonqualified Deferred Compensation</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Deferred Compensation Plan, as summarized in the Compensation Discussion and Analysis above, permits eligible participants to defer compensation from salary and cash incentives. The Deferred Compensation Plan limits the amount of participant deferrals to 25% of salary and 100% of cash incentives. Cohu may make matching contributions as summarized in the Compensation Discussion and Analysis.</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Participant and employer contributions, distributions and deemed investment earnings and losses are accumulated in individual deferral investment accounts as established by the Deferred Compensation Plan. The deemed investment gains or losses credited to a participant’s account are based on investment elections made by the participant from prescribed mutual fund investment options. Participants may elect to receive payment of their deferral account in ten or 15 annual installments upon retirement and in lump sum or five, ten or 15 annual installments upon disability, death, termination or change in control of Cohu, as defined in the Deferred Compensation Plan.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28, 2024, none of our NEOs have any amounts deferred under the Deferred Compensation Plan.</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0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summarizes information with respect to equity awards under Cohu’s equity compensation plans at December 28, 2024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per share amounts and amounts quoted in footnotes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88265</wp:posOffset>
            </wp:positionV>
            <wp:extent cx="34290" cy="10623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1062355"/>
                    </a:xfrm>
                    <a:prstGeom prst="rect">
                      <a:avLst/>
                    </a:prstGeom>
                    <a:noFill/>
                  </pic:spPr>
                </pic:pic>
              </a:graphicData>
            </a:graphic>
          </wp:anchor>
        </w:drawing>
        <w:drawing>
          <wp:anchor simplePos="0" relativeHeight="251657728" behindDoc="1" locked="0" layoutInCell="0" allowOverlap="1">
            <wp:simplePos x="0" y="0"/>
            <wp:positionH relativeFrom="column">
              <wp:posOffset>4218305</wp:posOffset>
            </wp:positionH>
            <wp:positionV relativeFrom="paragraph">
              <wp:posOffset>88265</wp:posOffset>
            </wp:positionV>
            <wp:extent cx="34290" cy="17481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1748155"/>
                    </a:xfrm>
                    <a:prstGeom prst="rect">
                      <a:avLst/>
                    </a:prstGeom>
                    <a:noFill/>
                  </pic:spPr>
                </pic:pic>
              </a:graphicData>
            </a:graphic>
          </wp:anchor>
        </w:drawing>
        <w:drawing>
          <wp:anchor simplePos="0" relativeHeight="251657728" behindDoc="1" locked="0" layoutInCell="0" allowOverlap="1">
            <wp:simplePos x="0" y="0"/>
            <wp:positionH relativeFrom="column">
              <wp:posOffset>5487035</wp:posOffset>
            </wp:positionH>
            <wp:positionV relativeFrom="paragraph">
              <wp:posOffset>88265</wp:posOffset>
            </wp:positionV>
            <wp:extent cx="33655" cy="17481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1748155"/>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40" w:type="dxa"/>
            <w:vAlign w:val="bottom"/>
            <w:tcBorders>
              <w:top w:val="single" w:sz="8" w:color="0033A0"/>
              <w:right w:val="single" w:sz="8" w:color="2D53A6"/>
            </w:tcBorders>
            <w:shd w:val="clear" w:color="auto" w:fill="2D53A6"/>
          </w:tcPr>
          <w:p>
            <w:pPr>
              <w:spacing w:after="0"/>
              <w:rPr>
                <w:sz w:val="17"/>
                <w:szCs w:val="17"/>
                <w:color w:val="auto"/>
              </w:rPr>
            </w:pPr>
          </w:p>
        </w:tc>
        <w:tc>
          <w:tcPr>
            <w:tcW w:w="2060" w:type="dxa"/>
            <w:vAlign w:val="bottom"/>
            <w:tcBorders>
              <w:top w:val="single" w:sz="8" w:color="0033A0"/>
            </w:tcBorders>
            <w:shd w:val="clear" w:color="auto" w:fill="2D53A6"/>
          </w:tcPr>
          <w:p>
            <w:pPr>
              <w:jc w:val="center"/>
              <w:spacing w:after="0" w:line="197" w:lineRule="exact"/>
              <w:rPr>
                <w:sz w:val="20"/>
                <w:szCs w:val="20"/>
                <w:color w:val="auto"/>
              </w:rPr>
            </w:pPr>
            <w:r>
              <w:rPr>
                <w:rFonts w:ascii="Arial" w:cs="Arial" w:eastAsia="Arial" w:hAnsi="Arial"/>
                <w:sz w:val="18"/>
                <w:szCs w:val="18"/>
                <w:b w:val="1"/>
                <w:bCs w:val="1"/>
                <w:color w:val="FFFFFF"/>
                <w:w w:val="99"/>
              </w:rPr>
              <w:t>Number of</w:t>
            </w:r>
          </w:p>
        </w:tc>
        <w:tc>
          <w:tcPr>
            <w:tcW w:w="1980" w:type="dxa"/>
            <w:vAlign w:val="bottom"/>
            <w:tcBorders>
              <w:top w:val="single" w:sz="8" w:color="0033A0"/>
            </w:tcBorders>
            <w:shd w:val="clear" w:color="auto" w:fill="2D53A6"/>
          </w:tcPr>
          <w:p>
            <w:pPr>
              <w:spacing w:after="0"/>
              <w:rPr>
                <w:sz w:val="17"/>
                <w:szCs w:val="17"/>
                <w:color w:val="auto"/>
              </w:rPr>
            </w:pPr>
          </w:p>
        </w:tc>
        <w:tc>
          <w:tcPr>
            <w:tcW w:w="2560" w:type="dxa"/>
            <w:vAlign w:val="bottom"/>
            <w:tcBorders>
              <w:top w:val="single" w:sz="8" w:color="0033A0"/>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rPr>
              <w:t>Number of securities</w:t>
            </w:r>
          </w:p>
        </w:tc>
        <w:tc>
          <w:tcPr>
            <w:tcW w:w="0" w:type="dxa"/>
            <w:vAlign w:val="bottom"/>
          </w:tcPr>
          <w:p>
            <w:pPr>
              <w:spacing w:after="0"/>
              <w:rPr>
                <w:sz w:val="1"/>
                <w:szCs w:val="1"/>
                <w:color w:val="auto"/>
              </w:rPr>
            </w:pPr>
          </w:p>
        </w:tc>
      </w:tr>
      <w:tr>
        <w:trPr>
          <w:trHeight w:val="95"/>
        </w:trPr>
        <w:tc>
          <w:tcPr>
            <w:tcW w:w="4640" w:type="dxa"/>
            <w:vAlign w:val="bottom"/>
            <w:tcBorders>
              <w:right w:val="single" w:sz="8" w:color="2D53A6"/>
            </w:tcBorders>
            <w:shd w:val="clear" w:color="auto" w:fill="2D53A6"/>
          </w:tcPr>
          <w:p>
            <w:pPr>
              <w:spacing w:after="0"/>
              <w:rPr>
                <w:sz w:val="8"/>
                <w:szCs w:val="8"/>
                <w:color w:val="auto"/>
              </w:rPr>
            </w:pPr>
          </w:p>
        </w:tc>
        <w:tc>
          <w:tcPr>
            <w:tcW w:w="206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securities</w:t>
            </w:r>
          </w:p>
        </w:tc>
        <w:tc>
          <w:tcPr>
            <w:tcW w:w="198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Weighted average</w:t>
            </w:r>
          </w:p>
        </w:tc>
        <w:tc>
          <w:tcPr>
            <w:tcW w:w="2560" w:type="dxa"/>
            <w:vAlign w:val="bottom"/>
            <w:vMerge w:val="continue"/>
            <w:shd w:val="clear" w:color="auto" w:fill="2D53A6"/>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640" w:type="dxa"/>
            <w:vAlign w:val="bottom"/>
            <w:tcBorders>
              <w:right w:val="single" w:sz="8" w:color="2D53A6"/>
            </w:tcBorders>
            <w:shd w:val="clear" w:color="auto" w:fill="2D53A6"/>
          </w:tcPr>
          <w:p>
            <w:pPr>
              <w:spacing w:after="0"/>
              <w:rPr>
                <w:sz w:val="9"/>
                <w:szCs w:val="9"/>
                <w:color w:val="auto"/>
              </w:rPr>
            </w:pPr>
          </w:p>
        </w:tc>
        <w:tc>
          <w:tcPr>
            <w:tcW w:w="2060" w:type="dxa"/>
            <w:vAlign w:val="bottom"/>
            <w:vMerge w:val="continue"/>
            <w:shd w:val="clear" w:color="auto" w:fill="2D53A6"/>
          </w:tcPr>
          <w:p>
            <w:pPr>
              <w:spacing w:after="0"/>
              <w:rPr>
                <w:sz w:val="9"/>
                <w:szCs w:val="9"/>
                <w:color w:val="auto"/>
              </w:rPr>
            </w:pPr>
          </w:p>
        </w:tc>
        <w:tc>
          <w:tcPr>
            <w:tcW w:w="1980" w:type="dxa"/>
            <w:vAlign w:val="bottom"/>
            <w:vMerge w:val="continue"/>
            <w:shd w:val="clear" w:color="auto" w:fill="2D53A6"/>
          </w:tcPr>
          <w:p>
            <w:pPr>
              <w:spacing w:after="0"/>
              <w:rPr>
                <w:sz w:val="9"/>
                <w:szCs w:val="9"/>
                <w:color w:val="auto"/>
              </w:rPr>
            </w:pPr>
          </w:p>
        </w:tc>
        <w:tc>
          <w:tcPr>
            <w:tcW w:w="256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available</w:t>
            </w:r>
          </w:p>
        </w:tc>
        <w:tc>
          <w:tcPr>
            <w:tcW w:w="0" w:type="dxa"/>
            <w:vAlign w:val="bottom"/>
          </w:tcPr>
          <w:p>
            <w:pPr>
              <w:spacing w:after="0"/>
              <w:rPr>
                <w:sz w:val="1"/>
                <w:szCs w:val="1"/>
                <w:color w:val="auto"/>
              </w:rPr>
            </w:pPr>
          </w:p>
        </w:tc>
      </w:tr>
      <w:tr>
        <w:trPr>
          <w:trHeight w:val="95"/>
        </w:trPr>
        <w:tc>
          <w:tcPr>
            <w:tcW w:w="4640" w:type="dxa"/>
            <w:vAlign w:val="bottom"/>
            <w:tcBorders>
              <w:right w:val="single" w:sz="8" w:color="2D53A6"/>
            </w:tcBorders>
            <w:shd w:val="clear" w:color="auto" w:fill="2D53A6"/>
          </w:tcPr>
          <w:p>
            <w:pPr>
              <w:spacing w:after="0"/>
              <w:rPr>
                <w:sz w:val="8"/>
                <w:szCs w:val="8"/>
                <w:color w:val="auto"/>
              </w:rPr>
            </w:pPr>
          </w:p>
        </w:tc>
        <w:tc>
          <w:tcPr>
            <w:tcW w:w="206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rPr>
              <w:t>to be issued</w:t>
            </w:r>
          </w:p>
        </w:tc>
        <w:tc>
          <w:tcPr>
            <w:tcW w:w="198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exercise price of</w:t>
            </w:r>
          </w:p>
        </w:tc>
        <w:tc>
          <w:tcPr>
            <w:tcW w:w="2560" w:type="dxa"/>
            <w:vAlign w:val="bottom"/>
            <w:vMerge w:val="continue"/>
            <w:shd w:val="clear" w:color="auto" w:fill="2D53A6"/>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640" w:type="dxa"/>
            <w:vAlign w:val="bottom"/>
            <w:tcBorders>
              <w:right w:val="single" w:sz="8" w:color="2D53A6"/>
            </w:tcBorders>
            <w:shd w:val="clear" w:color="auto" w:fill="2D53A6"/>
          </w:tcPr>
          <w:p>
            <w:pPr>
              <w:spacing w:after="0"/>
              <w:rPr>
                <w:sz w:val="9"/>
                <w:szCs w:val="9"/>
                <w:color w:val="auto"/>
              </w:rPr>
            </w:pPr>
          </w:p>
        </w:tc>
        <w:tc>
          <w:tcPr>
            <w:tcW w:w="2060" w:type="dxa"/>
            <w:vAlign w:val="bottom"/>
            <w:vMerge w:val="continue"/>
            <w:shd w:val="clear" w:color="auto" w:fill="2D53A6"/>
          </w:tcPr>
          <w:p>
            <w:pPr>
              <w:spacing w:after="0"/>
              <w:rPr>
                <w:sz w:val="9"/>
                <w:szCs w:val="9"/>
                <w:color w:val="auto"/>
              </w:rPr>
            </w:pPr>
          </w:p>
        </w:tc>
        <w:tc>
          <w:tcPr>
            <w:tcW w:w="1980" w:type="dxa"/>
            <w:vAlign w:val="bottom"/>
            <w:vMerge w:val="continue"/>
            <w:shd w:val="clear" w:color="auto" w:fill="2D53A6"/>
          </w:tcPr>
          <w:p>
            <w:pPr>
              <w:spacing w:after="0"/>
              <w:rPr>
                <w:sz w:val="9"/>
                <w:szCs w:val="9"/>
                <w:color w:val="auto"/>
              </w:rPr>
            </w:pPr>
          </w:p>
        </w:tc>
        <w:tc>
          <w:tcPr>
            <w:tcW w:w="256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for future issuance under</w:t>
            </w:r>
          </w:p>
        </w:tc>
        <w:tc>
          <w:tcPr>
            <w:tcW w:w="0" w:type="dxa"/>
            <w:vAlign w:val="bottom"/>
          </w:tcPr>
          <w:p>
            <w:pPr>
              <w:spacing w:after="0"/>
              <w:rPr>
                <w:sz w:val="1"/>
                <w:szCs w:val="1"/>
                <w:color w:val="auto"/>
              </w:rPr>
            </w:pPr>
          </w:p>
        </w:tc>
      </w:tr>
      <w:tr>
        <w:trPr>
          <w:trHeight w:val="95"/>
        </w:trPr>
        <w:tc>
          <w:tcPr>
            <w:tcW w:w="4640" w:type="dxa"/>
            <w:vAlign w:val="bottom"/>
            <w:tcBorders>
              <w:right w:val="single" w:sz="8" w:color="2D53A6"/>
            </w:tcBorders>
            <w:shd w:val="clear" w:color="auto" w:fill="2D53A6"/>
          </w:tcPr>
          <w:p>
            <w:pPr>
              <w:spacing w:after="0"/>
              <w:rPr>
                <w:sz w:val="8"/>
                <w:szCs w:val="8"/>
                <w:color w:val="auto"/>
              </w:rPr>
            </w:pPr>
          </w:p>
        </w:tc>
        <w:tc>
          <w:tcPr>
            <w:tcW w:w="206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upon exercise of</w:t>
            </w:r>
          </w:p>
        </w:tc>
        <w:tc>
          <w:tcPr>
            <w:tcW w:w="198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rPr>
              <w:t>outstanding</w:t>
            </w:r>
          </w:p>
        </w:tc>
        <w:tc>
          <w:tcPr>
            <w:tcW w:w="2560" w:type="dxa"/>
            <w:vAlign w:val="bottom"/>
            <w:vMerge w:val="continue"/>
            <w:shd w:val="clear" w:color="auto" w:fill="2D53A6"/>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640" w:type="dxa"/>
            <w:vAlign w:val="bottom"/>
            <w:tcBorders>
              <w:right w:val="single" w:sz="8" w:color="2D53A6"/>
            </w:tcBorders>
            <w:vMerge w:val="restart"/>
            <w:shd w:val="clear" w:color="auto" w:fill="2D53A6"/>
          </w:tcPr>
          <w:p>
            <w:pPr>
              <w:spacing w:after="0" w:line="202" w:lineRule="exact"/>
              <w:rPr>
                <w:sz w:val="20"/>
                <w:szCs w:val="20"/>
                <w:color w:val="auto"/>
              </w:rPr>
            </w:pPr>
            <w:r>
              <w:rPr>
                <w:rFonts w:ascii="Arial" w:cs="Arial" w:eastAsia="Arial" w:hAnsi="Arial"/>
                <w:sz w:val="18"/>
                <w:szCs w:val="18"/>
                <w:b w:val="1"/>
                <w:bCs w:val="1"/>
                <w:color w:val="FFFFFF"/>
              </w:rPr>
              <w:t>Plan category</w:t>
            </w:r>
          </w:p>
        </w:tc>
        <w:tc>
          <w:tcPr>
            <w:tcW w:w="2060" w:type="dxa"/>
            <w:vAlign w:val="bottom"/>
            <w:vMerge w:val="continue"/>
            <w:shd w:val="clear" w:color="auto" w:fill="2D53A6"/>
          </w:tcPr>
          <w:p>
            <w:pPr>
              <w:spacing w:after="0"/>
              <w:rPr>
                <w:sz w:val="9"/>
                <w:szCs w:val="9"/>
                <w:color w:val="auto"/>
              </w:rPr>
            </w:pPr>
          </w:p>
        </w:tc>
        <w:tc>
          <w:tcPr>
            <w:tcW w:w="1980" w:type="dxa"/>
            <w:vAlign w:val="bottom"/>
            <w:vMerge w:val="continue"/>
            <w:shd w:val="clear" w:color="auto" w:fill="2D53A6"/>
          </w:tcPr>
          <w:p>
            <w:pPr>
              <w:spacing w:after="0"/>
              <w:rPr>
                <w:sz w:val="9"/>
                <w:szCs w:val="9"/>
                <w:color w:val="auto"/>
              </w:rPr>
            </w:pPr>
          </w:p>
        </w:tc>
        <w:tc>
          <w:tcPr>
            <w:tcW w:w="256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equity compensation plans</w:t>
            </w:r>
          </w:p>
        </w:tc>
        <w:tc>
          <w:tcPr>
            <w:tcW w:w="0" w:type="dxa"/>
            <w:vAlign w:val="bottom"/>
          </w:tcPr>
          <w:p>
            <w:pPr>
              <w:spacing w:after="0"/>
              <w:rPr>
                <w:sz w:val="1"/>
                <w:szCs w:val="1"/>
                <w:color w:val="auto"/>
              </w:rPr>
            </w:pPr>
          </w:p>
        </w:tc>
      </w:tr>
      <w:tr>
        <w:trPr>
          <w:trHeight w:val="95"/>
        </w:trPr>
        <w:tc>
          <w:tcPr>
            <w:tcW w:w="4640" w:type="dxa"/>
            <w:vAlign w:val="bottom"/>
            <w:tcBorders>
              <w:right w:val="single" w:sz="8" w:color="2D53A6"/>
            </w:tcBorders>
            <w:vMerge w:val="continue"/>
            <w:shd w:val="clear" w:color="auto" w:fill="2D53A6"/>
          </w:tcPr>
          <w:p>
            <w:pPr>
              <w:spacing w:after="0"/>
              <w:rPr>
                <w:sz w:val="8"/>
                <w:szCs w:val="8"/>
                <w:color w:val="auto"/>
              </w:rPr>
            </w:pPr>
          </w:p>
        </w:tc>
        <w:tc>
          <w:tcPr>
            <w:tcW w:w="206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8"/>
              </w:rPr>
              <w:t>outstanding</w:t>
            </w:r>
          </w:p>
        </w:tc>
        <w:tc>
          <w:tcPr>
            <w:tcW w:w="198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options,</w:t>
            </w:r>
          </w:p>
        </w:tc>
        <w:tc>
          <w:tcPr>
            <w:tcW w:w="2560" w:type="dxa"/>
            <w:vAlign w:val="bottom"/>
            <w:vMerge w:val="continue"/>
            <w:shd w:val="clear" w:color="auto" w:fill="2D53A6"/>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640" w:type="dxa"/>
            <w:vAlign w:val="bottom"/>
            <w:tcBorders>
              <w:right w:val="single" w:sz="8" w:color="2D53A6"/>
            </w:tcBorders>
            <w:shd w:val="clear" w:color="auto" w:fill="2D53A6"/>
          </w:tcPr>
          <w:p>
            <w:pPr>
              <w:spacing w:after="0"/>
              <w:rPr>
                <w:sz w:val="9"/>
                <w:szCs w:val="9"/>
                <w:color w:val="auto"/>
              </w:rPr>
            </w:pPr>
          </w:p>
        </w:tc>
        <w:tc>
          <w:tcPr>
            <w:tcW w:w="2060" w:type="dxa"/>
            <w:vAlign w:val="bottom"/>
            <w:vMerge w:val="continue"/>
            <w:shd w:val="clear" w:color="auto" w:fill="2D53A6"/>
          </w:tcPr>
          <w:p>
            <w:pPr>
              <w:spacing w:after="0"/>
              <w:rPr>
                <w:sz w:val="9"/>
                <w:szCs w:val="9"/>
                <w:color w:val="auto"/>
              </w:rPr>
            </w:pPr>
          </w:p>
        </w:tc>
        <w:tc>
          <w:tcPr>
            <w:tcW w:w="1980" w:type="dxa"/>
            <w:vAlign w:val="bottom"/>
            <w:vMerge w:val="continue"/>
            <w:shd w:val="clear" w:color="auto" w:fill="2D53A6"/>
          </w:tcPr>
          <w:p>
            <w:pPr>
              <w:spacing w:after="0"/>
              <w:rPr>
                <w:sz w:val="9"/>
                <w:szCs w:val="9"/>
                <w:color w:val="auto"/>
              </w:rPr>
            </w:pPr>
          </w:p>
        </w:tc>
        <w:tc>
          <w:tcPr>
            <w:tcW w:w="256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rPr>
              <w:t>(excluding securities</w:t>
            </w:r>
          </w:p>
        </w:tc>
        <w:tc>
          <w:tcPr>
            <w:tcW w:w="0" w:type="dxa"/>
            <w:vAlign w:val="bottom"/>
          </w:tcPr>
          <w:p>
            <w:pPr>
              <w:spacing w:after="0"/>
              <w:rPr>
                <w:sz w:val="1"/>
                <w:szCs w:val="1"/>
                <w:color w:val="auto"/>
              </w:rPr>
            </w:pPr>
          </w:p>
        </w:tc>
      </w:tr>
      <w:tr>
        <w:trPr>
          <w:trHeight w:val="95"/>
        </w:trPr>
        <w:tc>
          <w:tcPr>
            <w:tcW w:w="4640" w:type="dxa"/>
            <w:vAlign w:val="bottom"/>
            <w:tcBorders>
              <w:right w:val="single" w:sz="8" w:color="2D53A6"/>
            </w:tcBorders>
            <w:shd w:val="clear" w:color="auto" w:fill="2D53A6"/>
          </w:tcPr>
          <w:p>
            <w:pPr>
              <w:spacing w:after="0"/>
              <w:rPr>
                <w:sz w:val="8"/>
                <w:szCs w:val="8"/>
                <w:color w:val="auto"/>
              </w:rPr>
            </w:pPr>
          </w:p>
        </w:tc>
        <w:tc>
          <w:tcPr>
            <w:tcW w:w="206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options,</w:t>
            </w:r>
          </w:p>
        </w:tc>
        <w:tc>
          <w:tcPr>
            <w:tcW w:w="198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rPr>
              <w:t>warrants and rights</w:t>
            </w:r>
          </w:p>
        </w:tc>
        <w:tc>
          <w:tcPr>
            <w:tcW w:w="2560" w:type="dxa"/>
            <w:vAlign w:val="bottom"/>
            <w:vMerge w:val="continue"/>
            <w:shd w:val="clear" w:color="auto" w:fill="2D53A6"/>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640" w:type="dxa"/>
            <w:vAlign w:val="bottom"/>
            <w:tcBorders>
              <w:right w:val="single" w:sz="8" w:color="2D53A6"/>
            </w:tcBorders>
            <w:shd w:val="clear" w:color="auto" w:fill="2D53A6"/>
          </w:tcPr>
          <w:p>
            <w:pPr>
              <w:spacing w:after="0"/>
              <w:rPr>
                <w:sz w:val="9"/>
                <w:szCs w:val="9"/>
                <w:color w:val="auto"/>
              </w:rPr>
            </w:pPr>
          </w:p>
        </w:tc>
        <w:tc>
          <w:tcPr>
            <w:tcW w:w="2060" w:type="dxa"/>
            <w:vAlign w:val="bottom"/>
            <w:vMerge w:val="continue"/>
            <w:shd w:val="clear" w:color="auto" w:fill="2D53A6"/>
          </w:tcPr>
          <w:p>
            <w:pPr>
              <w:spacing w:after="0"/>
              <w:rPr>
                <w:sz w:val="9"/>
                <w:szCs w:val="9"/>
                <w:color w:val="auto"/>
              </w:rPr>
            </w:pPr>
          </w:p>
        </w:tc>
        <w:tc>
          <w:tcPr>
            <w:tcW w:w="1980" w:type="dxa"/>
            <w:vAlign w:val="bottom"/>
            <w:vMerge w:val="continue"/>
            <w:shd w:val="clear" w:color="auto" w:fill="2D53A6"/>
          </w:tcPr>
          <w:p>
            <w:pPr>
              <w:spacing w:after="0"/>
              <w:rPr>
                <w:sz w:val="9"/>
                <w:szCs w:val="9"/>
                <w:color w:val="auto"/>
              </w:rPr>
            </w:pPr>
          </w:p>
        </w:tc>
        <w:tc>
          <w:tcPr>
            <w:tcW w:w="256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rPr>
              <w:t>reflected</w:t>
            </w:r>
          </w:p>
        </w:tc>
        <w:tc>
          <w:tcPr>
            <w:tcW w:w="0" w:type="dxa"/>
            <w:vAlign w:val="bottom"/>
          </w:tcPr>
          <w:p>
            <w:pPr>
              <w:spacing w:after="0"/>
              <w:rPr>
                <w:sz w:val="1"/>
                <w:szCs w:val="1"/>
                <w:color w:val="auto"/>
              </w:rPr>
            </w:pPr>
          </w:p>
        </w:tc>
      </w:tr>
      <w:tr>
        <w:trPr>
          <w:trHeight w:val="95"/>
        </w:trPr>
        <w:tc>
          <w:tcPr>
            <w:tcW w:w="4640" w:type="dxa"/>
            <w:vAlign w:val="bottom"/>
            <w:tcBorders>
              <w:right w:val="single" w:sz="8" w:color="2D53A6"/>
            </w:tcBorders>
            <w:shd w:val="clear" w:color="auto" w:fill="2D53A6"/>
          </w:tcPr>
          <w:p>
            <w:pPr>
              <w:spacing w:after="0"/>
              <w:rPr>
                <w:sz w:val="8"/>
                <w:szCs w:val="8"/>
                <w:color w:val="auto"/>
              </w:rPr>
            </w:pPr>
          </w:p>
        </w:tc>
        <w:tc>
          <w:tcPr>
            <w:tcW w:w="206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warrants and rights</w:t>
            </w:r>
          </w:p>
        </w:tc>
        <w:tc>
          <w:tcPr>
            <w:tcW w:w="198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rPr>
              <w:t xml:space="preserve">(b) </w:t>
            </w:r>
            <w:r>
              <w:rPr>
                <w:rFonts w:ascii="Arial" w:cs="Arial" w:eastAsia="Arial" w:hAnsi="Arial"/>
                <w:sz w:val="14"/>
                <w:szCs w:val="14"/>
                <w:b w:val="1"/>
                <w:bCs w:val="1"/>
                <w:color w:val="FFFFFF"/>
              </w:rPr>
              <w:t>(2)</w:t>
            </w:r>
          </w:p>
        </w:tc>
        <w:tc>
          <w:tcPr>
            <w:tcW w:w="2560" w:type="dxa"/>
            <w:vAlign w:val="bottom"/>
            <w:vMerge w:val="continue"/>
            <w:shd w:val="clear" w:color="auto" w:fill="2D53A6"/>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640" w:type="dxa"/>
            <w:vAlign w:val="bottom"/>
            <w:tcBorders>
              <w:right w:val="single" w:sz="8" w:color="2D53A6"/>
            </w:tcBorders>
            <w:shd w:val="clear" w:color="auto" w:fill="2D53A6"/>
          </w:tcPr>
          <w:p>
            <w:pPr>
              <w:spacing w:after="0"/>
              <w:rPr>
                <w:sz w:val="9"/>
                <w:szCs w:val="9"/>
                <w:color w:val="auto"/>
              </w:rPr>
            </w:pPr>
          </w:p>
        </w:tc>
        <w:tc>
          <w:tcPr>
            <w:tcW w:w="2060" w:type="dxa"/>
            <w:vAlign w:val="bottom"/>
            <w:vMerge w:val="continue"/>
            <w:shd w:val="clear" w:color="auto" w:fill="2D53A6"/>
          </w:tcPr>
          <w:p>
            <w:pPr>
              <w:spacing w:after="0"/>
              <w:rPr>
                <w:sz w:val="9"/>
                <w:szCs w:val="9"/>
                <w:color w:val="auto"/>
              </w:rPr>
            </w:pPr>
          </w:p>
        </w:tc>
        <w:tc>
          <w:tcPr>
            <w:tcW w:w="1980" w:type="dxa"/>
            <w:vAlign w:val="bottom"/>
            <w:vMerge w:val="continue"/>
            <w:shd w:val="clear" w:color="auto" w:fill="2D53A6"/>
          </w:tcPr>
          <w:p>
            <w:pPr>
              <w:spacing w:after="0"/>
              <w:rPr>
                <w:sz w:val="9"/>
                <w:szCs w:val="9"/>
                <w:color w:val="auto"/>
              </w:rPr>
            </w:pPr>
          </w:p>
        </w:tc>
        <w:tc>
          <w:tcPr>
            <w:tcW w:w="25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rPr>
              <w:t xml:space="preserve">in column (a)) (c) </w:t>
            </w:r>
            <w:r>
              <w:rPr>
                <w:rFonts w:ascii="Arial" w:cs="Arial" w:eastAsia="Arial" w:hAnsi="Arial"/>
                <w:sz w:val="14"/>
                <w:szCs w:val="14"/>
                <w:b w:val="1"/>
                <w:bCs w:val="1"/>
                <w:color w:val="FFFFFF"/>
              </w:rPr>
              <w:t>(3)</w:t>
            </w:r>
          </w:p>
        </w:tc>
        <w:tc>
          <w:tcPr>
            <w:tcW w:w="0" w:type="dxa"/>
            <w:vAlign w:val="bottom"/>
          </w:tcPr>
          <w:p>
            <w:pPr>
              <w:spacing w:after="0"/>
              <w:rPr>
                <w:sz w:val="1"/>
                <w:szCs w:val="1"/>
                <w:color w:val="auto"/>
              </w:rPr>
            </w:pPr>
          </w:p>
        </w:tc>
      </w:tr>
      <w:tr>
        <w:trPr>
          <w:trHeight w:val="139"/>
        </w:trPr>
        <w:tc>
          <w:tcPr>
            <w:tcW w:w="4640" w:type="dxa"/>
            <w:vAlign w:val="bottom"/>
            <w:tcBorders>
              <w:right w:val="single" w:sz="8" w:color="2D53A6"/>
            </w:tcBorders>
            <w:shd w:val="clear" w:color="auto" w:fill="2D53A6"/>
          </w:tcPr>
          <w:p>
            <w:pPr>
              <w:spacing w:after="0"/>
              <w:rPr>
                <w:sz w:val="12"/>
                <w:szCs w:val="12"/>
                <w:color w:val="auto"/>
              </w:rPr>
            </w:pPr>
          </w:p>
        </w:tc>
        <w:tc>
          <w:tcPr>
            <w:tcW w:w="20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rPr>
              <w:t xml:space="preserve">(a) </w:t>
            </w:r>
            <w:r>
              <w:rPr>
                <w:rFonts w:ascii="Arial" w:cs="Arial" w:eastAsia="Arial" w:hAnsi="Arial"/>
                <w:sz w:val="14"/>
                <w:szCs w:val="14"/>
                <w:b w:val="1"/>
                <w:bCs w:val="1"/>
                <w:color w:val="FFFFFF"/>
              </w:rPr>
              <w:t>(1)</w:t>
            </w:r>
          </w:p>
        </w:tc>
        <w:tc>
          <w:tcPr>
            <w:tcW w:w="1980" w:type="dxa"/>
            <w:vAlign w:val="bottom"/>
            <w:shd w:val="clear" w:color="auto" w:fill="2D53A6"/>
          </w:tcPr>
          <w:p>
            <w:pPr>
              <w:spacing w:after="0"/>
              <w:rPr>
                <w:sz w:val="12"/>
                <w:szCs w:val="12"/>
                <w:color w:val="auto"/>
              </w:rPr>
            </w:pPr>
          </w:p>
        </w:tc>
        <w:tc>
          <w:tcPr>
            <w:tcW w:w="2560" w:type="dxa"/>
            <w:vAlign w:val="bottom"/>
            <w:vMerge w:val="continue"/>
            <w:shd w:val="clear" w:color="auto" w:fill="2D53A6"/>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4640" w:type="dxa"/>
            <w:vAlign w:val="bottom"/>
            <w:tcBorders>
              <w:right w:val="single" w:sz="8" w:color="2D53A6"/>
            </w:tcBorders>
            <w:shd w:val="clear" w:color="auto" w:fill="2D53A6"/>
          </w:tcPr>
          <w:p>
            <w:pPr>
              <w:spacing w:after="0"/>
              <w:rPr>
                <w:sz w:val="7"/>
                <w:szCs w:val="7"/>
                <w:color w:val="auto"/>
              </w:rPr>
            </w:pPr>
          </w:p>
        </w:tc>
        <w:tc>
          <w:tcPr>
            <w:tcW w:w="2060" w:type="dxa"/>
            <w:vAlign w:val="bottom"/>
            <w:vMerge w:val="continue"/>
            <w:shd w:val="clear" w:color="auto" w:fill="2D53A6"/>
          </w:tcPr>
          <w:p>
            <w:pPr>
              <w:spacing w:after="0"/>
              <w:rPr>
                <w:sz w:val="7"/>
                <w:szCs w:val="7"/>
                <w:color w:val="auto"/>
              </w:rPr>
            </w:pPr>
          </w:p>
        </w:tc>
        <w:tc>
          <w:tcPr>
            <w:tcW w:w="1980" w:type="dxa"/>
            <w:vAlign w:val="bottom"/>
            <w:shd w:val="clear" w:color="auto" w:fill="2D53A6"/>
          </w:tcPr>
          <w:p>
            <w:pPr>
              <w:spacing w:after="0"/>
              <w:rPr>
                <w:sz w:val="7"/>
                <w:szCs w:val="7"/>
                <w:color w:val="auto"/>
              </w:rPr>
            </w:pPr>
          </w:p>
        </w:tc>
        <w:tc>
          <w:tcPr>
            <w:tcW w:w="2560" w:type="dxa"/>
            <w:vAlign w:val="bottom"/>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640" w:type="dxa"/>
            <w:vAlign w:val="bottom"/>
            <w:tcBorders>
              <w:right w:val="single" w:sz="8" w:color="2D53A6"/>
            </w:tcBorders>
          </w:tcPr>
          <w:p>
            <w:pPr>
              <w:spacing w:after="0" w:line="183" w:lineRule="exact"/>
              <w:rPr>
                <w:sz w:val="20"/>
                <w:szCs w:val="20"/>
                <w:color w:val="auto"/>
              </w:rPr>
            </w:pPr>
            <w:r>
              <w:rPr>
                <w:rFonts w:ascii="Arial" w:cs="Arial" w:eastAsia="Arial" w:hAnsi="Arial"/>
                <w:sz w:val="18"/>
                <w:szCs w:val="18"/>
                <w:color w:val="auto"/>
              </w:rPr>
              <w:t>Equity compensation plans</w:t>
            </w:r>
          </w:p>
        </w:tc>
        <w:tc>
          <w:tcPr>
            <w:tcW w:w="20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6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approved by security holders</w:t>
            </w:r>
          </w:p>
        </w:tc>
        <w:tc>
          <w:tcPr>
            <w:tcW w:w="2060" w:type="dxa"/>
            <w:vAlign w:val="bottom"/>
            <w:tcBorders>
              <w:bottom w:val="single" w:sz="8" w:color="2D53A6"/>
            </w:tcBorders>
          </w:tcPr>
          <w:p>
            <w:pPr>
              <w:jc w:val="right"/>
              <w:ind w:right="50"/>
              <w:spacing w:after="0"/>
              <w:rPr>
                <w:sz w:val="20"/>
                <w:szCs w:val="20"/>
                <w:color w:val="auto"/>
              </w:rPr>
            </w:pPr>
            <w:r>
              <w:rPr>
                <w:rFonts w:ascii="Arial" w:cs="Arial" w:eastAsia="Arial" w:hAnsi="Arial"/>
                <w:sz w:val="18"/>
                <w:szCs w:val="18"/>
                <w:color w:val="auto"/>
              </w:rPr>
              <w:t>1,424</w:t>
            </w:r>
          </w:p>
        </w:tc>
        <w:tc>
          <w:tcPr>
            <w:tcW w:w="1980" w:type="dxa"/>
            <w:vAlign w:val="bottom"/>
            <w:tcBorders>
              <w:bottom w:val="single" w:sz="8" w:color="2D53A6"/>
            </w:tcBorders>
          </w:tcPr>
          <w:p>
            <w:pPr>
              <w:jc w:val="right"/>
              <w:ind w:right="30"/>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2D53A6"/>
            </w:tcBorders>
          </w:tcPr>
          <w:p>
            <w:pPr>
              <w:jc w:val="right"/>
              <w:ind w:right="10"/>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177"/>
        </w:trPr>
        <w:tc>
          <w:tcPr>
            <w:tcW w:w="4640" w:type="dxa"/>
            <w:vAlign w:val="bottom"/>
            <w:tcBorders>
              <w:right w:val="single" w:sz="8" w:color="2D53A6"/>
            </w:tcBorders>
          </w:tcPr>
          <w:p>
            <w:pPr>
              <w:spacing w:after="0" w:line="177" w:lineRule="exact"/>
              <w:rPr>
                <w:sz w:val="20"/>
                <w:szCs w:val="20"/>
                <w:color w:val="auto"/>
              </w:rPr>
            </w:pPr>
            <w:r>
              <w:rPr>
                <w:rFonts w:ascii="Arial" w:cs="Arial" w:eastAsia="Arial" w:hAnsi="Arial"/>
                <w:sz w:val="18"/>
                <w:szCs w:val="18"/>
                <w:color w:val="auto"/>
              </w:rPr>
              <w:t>Equity compensation plans not</w:t>
            </w:r>
          </w:p>
        </w:tc>
        <w:tc>
          <w:tcPr>
            <w:tcW w:w="20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6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approved by security holders</w:t>
            </w:r>
          </w:p>
        </w:tc>
        <w:tc>
          <w:tcPr>
            <w:tcW w:w="2060" w:type="dxa"/>
            <w:vAlign w:val="bottom"/>
            <w:tcBorders>
              <w:bottom w:val="single" w:sz="8" w:color="2D53A6"/>
            </w:tcBorders>
          </w:tcPr>
          <w:p>
            <w:pPr>
              <w:jc w:val="right"/>
              <w:ind w:right="5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2D53A6"/>
            </w:tcBorders>
          </w:tcPr>
          <w:p>
            <w:pPr>
              <w:jc w:val="right"/>
              <w:ind w:right="30"/>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2D53A6"/>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640" w:type="dxa"/>
            <w:vAlign w:val="bottom"/>
            <w:tcBorders>
              <w:right w:val="single" w:sz="8" w:color="2D53A6"/>
            </w:tcBorders>
          </w:tcPr>
          <w:p>
            <w:pPr>
              <w:spacing w:after="0"/>
              <w:rPr>
                <w:sz w:val="17"/>
                <w:szCs w:val="17"/>
                <w:color w:val="auto"/>
              </w:rPr>
            </w:pPr>
          </w:p>
        </w:tc>
        <w:tc>
          <w:tcPr>
            <w:tcW w:w="20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1,424</w:t>
            </w:r>
          </w:p>
        </w:tc>
        <w:tc>
          <w:tcPr>
            <w:tcW w:w="19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5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0"/>
        </w:trPr>
        <w:tc>
          <w:tcPr>
            <w:tcW w:w="4640" w:type="dxa"/>
            <w:vAlign w:val="bottom"/>
            <w:tcBorders>
              <w:bottom w:val="single" w:sz="8" w:color="2D53A6"/>
              <w:right w:val="single" w:sz="8" w:color="2D53A6"/>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right="200" w:hanging="332"/>
        <w:spacing w:after="0" w:line="25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options, restricted stock units (RSUs) and performance stock units (PSUs) outstanding under Cohu’s equity incentive plans, as no stock warrants or other rights were outstanding as of December 28, 2024.</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weighted average exercise price of outstanding options, warrants and rights does not take RSUs and PSUs into account as RSUs and PSUs have no exercise price.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628,316 shares of common stock reserved for future issuance under the Cohu 1997 Employee Stock Purchase Plan.</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202"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None of the Compensation Committee’s members during the last fiscal year have, at any time, been an officer or employee of Cohu. During fiscal year 2024, no member of the Compensation Committee had any relationship with Cohu requiring disclosure under Item 404 of Regulation S-K. None of Cohu’s executive officers serves, or in fiscal year 2024 has served, as a member of the board of directors or compensation committee of any entity that has one or more of its executive officers serving on Cohu’s Board or Compensation Committee.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20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Compensation Committee previously undertook, in consultation with Compensia, a review of its executive agreements. The objective of this review was to independently assess best practices and develop standard agreements to be implemented as the Compensation Committee deemed appropriate among the Company’s executive officers. The Compensation Committee approved a form of executive severance agreement (the “Severance Agreement”) and form of change in control agreement (the “Change in Control Agreement”) for certain of the Company’s executive officers (each, an “Executive”), as described below. The Company first entered into the Severance Agreements and Change in Control Agreements on September 8, 2020.</w:t>
      </w:r>
    </w:p>
    <w:p>
      <w:pPr>
        <w:spacing w:after="0" w:line="16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Severance Agreement provides that if an Executive’s employment is terminated by the Company without Cause, or additionally only in the case of our CEO, if he voluntarily resigns for Good Reason, then, subject to the Executive’s continued compliance with the obligations set forth in the Executive’s Confidentiality and Inventions Agreement and the Executive’s signing and not revoking a separation agreement and release of claims in favor of Cohu, the Executive would be entitled to: (1) any expense reimbursements, wages and other benefits due to Executive under any Company-provided plans, policies and arrangements (the “Accrued Amounts”); (2) a lump sum payment equal to a multiplier (as summarized below) multiplied by the Executive’s annual base salary; and (3) reimbursement for the Executive’s COBRA continuation premiums for the Premium Payment Period (as summarized below). If an Executive’s employment with the Company terminates</w:t>
      </w:r>
    </w:p>
    <w:p>
      <w:pPr>
        <w:spacing w:after="0" w:line="5" w:lineRule="exact"/>
        <w:rPr>
          <w:sz w:val="20"/>
          <w:szCs w:val="20"/>
          <w:color w:val="auto"/>
        </w:rPr>
      </w:pPr>
    </w:p>
    <w:p>
      <w:pPr>
        <w:ind w:right="160" w:firstLine="8"/>
        <w:spacing w:after="0" w:line="242" w:lineRule="auto"/>
        <w:tabs>
          <w:tab w:leader="none" w:pos="29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voluntarily by the Executive (other than for Good Reason in the case of our CEO), (B) for Cause by the Company, or (C) due to Executive’s death or disability, the Executive would not be entitled to receive any severance payments, but in the event of death their estate would be eligible for a pro-rata incentive bonus for the year in which the termination date occurs.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Change in Control Agreement provides that if an Executive’s employment is terminated by the Company without Cause or the Executive voluntarily resigns for Good Reason, in either case beginning 60 days preceding the date of an event constituting a Change in Control and ending on the second anniversary of the date of the event constituting such Change in Control, then, subject to the Executive’s continued compliance with the obligations set forth in the Executive’s Confidentiality and Inventions Agreement and the Executive’s signing and not revoking a separation agreement and release of claims in favor of Cohu, the Executive would be entitled to: (1) the Accrued Amounts; (2) a lump sum payment equal to a multiplier (as summarized below) multiplied by the Executive’s annual base salary; (3) a lump sum payment equal to a multiplier (as summarized below) multiplied by the Executive’s target bonus amount in the year of termination; (4) a lump sum payment equal to the pro-rated portion of Executive’s target bonus amount for the fiscal year in which the termination date occurs; (5) reimbursement for the Executive’s COBRA continuation premiums for the Premium Payment Period (as summarized below); and (6) all of Executive’s then unvested awards relating to the Company’s common stock or equivalent equity awards as assumed, continued or substituted for by an Acquiror, whether stock options, shares of restricted stock, restricted stock units, performance share units, or otherwise, outstanding as of the Termination Date would become vested in full. If an Executive’s employment with the Company terminates (A) voluntarily by the Executive, other than for Good Reason, (B) for Cause by the Company, or (C) due to Executive’s death or disability, the Executive would not be entitled to receive any severance payments, but in the event of death their estate would be eligible for a pro- rata incentive bonus for the year in which the termination date occurs. The terms of the stock award agreements for RSUs granted through 2024 provide that in the event of a change in control, the RSUs will accelerate vesting and be settled at the time of the change in control. The terms of the award agreements for RSUs granted to our NEOs beginning in 2025 provide that such vesting acceleration will only occur should the acquiring corporation not assume or substitute for the RSUs in the change in control. The terms of the award agreements for PSUs granted through 2024 provide that in the event of a change in control, the PSUs will accelerate vesting and be settled at the time of the change in control. The terms of the award agreements for PSUs granted to our NEOs beginning in 2025, which cannot reasonably be assumed or substituted, provide for vesting acceleration upon a change in control at the greater of the target level or the level of performance attained through the change in control.</w:t>
      </w:r>
    </w:p>
    <w:p>
      <w:pPr>
        <w:spacing w:after="0" w:line="180"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color w:val="auto"/>
        </w:rPr>
        <w:t>The Agreements had a three-year Initial Term and were automatically extended for a two-year period starting on September 8, 2023, as neither party had delivered written notice to the other party within six months prior to the completion of the then effective Term that the Agreement would not be extended.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97790</wp:posOffset>
            </wp:positionV>
            <wp:extent cx="33655" cy="5657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565785"/>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Borders>
              <w:top w:val="single" w:sz="8" w:color="0033A0"/>
              <w:bottom w:val="single" w:sz="8" w:color="0033A0"/>
              <w:right w:val="single" w:sz="8" w:color="2D53A6"/>
            </w:tcBorders>
            <w:shd w:val="clear" w:color="auto" w:fill="2D53A6"/>
          </w:tcPr>
          <w:p>
            <w:pPr>
              <w:spacing w:after="0"/>
              <w:rPr>
                <w:sz w:val="18"/>
                <w:szCs w:val="18"/>
                <w:color w:val="auto"/>
              </w:rPr>
            </w:pPr>
          </w:p>
        </w:tc>
        <w:tc>
          <w:tcPr>
            <w:tcW w:w="3800" w:type="dxa"/>
            <w:vAlign w:val="bottom"/>
            <w:tcBorders>
              <w:top w:val="single" w:sz="8" w:color="0033A0"/>
              <w:bottom w:val="single" w:sz="8" w:color="0033A0"/>
              <w:right w:val="single" w:sz="8" w:color="0033A0"/>
            </w:tcBorders>
            <w:gridSpan w:val="2"/>
            <w:shd w:val="clear" w:color="auto" w:fill="2D53A6"/>
          </w:tcPr>
          <w:p>
            <w:pPr>
              <w:ind w:left="940"/>
              <w:spacing w:after="0"/>
              <w:rPr>
                <w:sz w:val="20"/>
                <w:szCs w:val="20"/>
                <w:color w:val="auto"/>
              </w:rPr>
            </w:pPr>
            <w:r>
              <w:rPr>
                <w:rFonts w:ascii="Arial" w:cs="Arial" w:eastAsia="Arial" w:hAnsi="Arial"/>
                <w:sz w:val="18"/>
                <w:szCs w:val="18"/>
                <w:b w:val="1"/>
                <w:bCs w:val="1"/>
                <w:color w:val="FFFFFF"/>
              </w:rPr>
              <w:t>Severance Agreement</w:t>
            </w:r>
          </w:p>
        </w:tc>
        <w:tc>
          <w:tcPr>
            <w:tcW w:w="3800" w:type="dxa"/>
            <w:vAlign w:val="bottom"/>
            <w:tcBorders>
              <w:top w:val="single" w:sz="8" w:color="0033A0"/>
              <w:bottom w:val="single" w:sz="8" w:color="0033A0"/>
            </w:tcBorders>
            <w:gridSpan w:val="2"/>
            <w:shd w:val="clear" w:color="auto" w:fill="2D53A6"/>
          </w:tcPr>
          <w:p>
            <w:pPr>
              <w:ind w:left="620"/>
              <w:spacing w:after="0"/>
              <w:rPr>
                <w:sz w:val="20"/>
                <w:szCs w:val="20"/>
                <w:color w:val="auto"/>
              </w:rPr>
            </w:pPr>
            <w:r>
              <w:rPr>
                <w:rFonts w:ascii="Arial" w:cs="Arial" w:eastAsia="Arial" w:hAnsi="Arial"/>
                <w:sz w:val="18"/>
                <w:szCs w:val="18"/>
                <w:b w:val="1"/>
                <w:bCs w:val="1"/>
                <w:color w:val="FFFFFF"/>
              </w:rPr>
              <w:t>Change in Control Agreement</w:t>
            </w:r>
          </w:p>
        </w:tc>
        <w:tc>
          <w:tcPr>
            <w:tcW w:w="0" w:type="dxa"/>
            <w:vAlign w:val="bottom"/>
          </w:tcPr>
          <w:p>
            <w:pPr>
              <w:spacing w:after="0"/>
              <w:rPr>
                <w:sz w:val="1"/>
                <w:szCs w:val="1"/>
                <w:color w:val="auto"/>
              </w:rPr>
            </w:pPr>
          </w:p>
        </w:tc>
      </w:tr>
      <w:tr>
        <w:trPr>
          <w:trHeight w:val="177"/>
        </w:trPr>
        <w:tc>
          <w:tcPr>
            <w:tcW w:w="3640" w:type="dxa"/>
            <w:vAlign w:val="bottom"/>
            <w:tcBorders>
              <w:right w:val="single" w:sz="8" w:color="2D53A6"/>
            </w:tcBorders>
            <w:shd w:val="clear" w:color="auto" w:fill="2D53A6"/>
          </w:tcPr>
          <w:p>
            <w:pPr>
              <w:spacing w:after="0"/>
              <w:rPr>
                <w:sz w:val="15"/>
                <w:szCs w:val="15"/>
                <w:color w:val="auto"/>
              </w:rPr>
            </w:pPr>
          </w:p>
        </w:tc>
        <w:tc>
          <w:tcPr>
            <w:tcW w:w="1740" w:type="dxa"/>
            <w:vAlign w:val="bottom"/>
            <w:tcBorders>
              <w:right w:val="single" w:sz="8" w:color="0033A0"/>
            </w:tcBorders>
            <w:shd w:val="clear" w:color="auto" w:fill="2D53A6"/>
          </w:tcPr>
          <w:p>
            <w:pPr>
              <w:spacing w:after="0"/>
              <w:rPr>
                <w:sz w:val="15"/>
                <w:szCs w:val="15"/>
                <w:color w:val="auto"/>
              </w:rPr>
            </w:pPr>
          </w:p>
        </w:tc>
        <w:tc>
          <w:tcPr>
            <w:tcW w:w="2060" w:type="dxa"/>
            <w:vAlign w:val="bottom"/>
            <w:tcBorders>
              <w:right w:val="single" w:sz="8" w:color="0033A0"/>
            </w:tcBorders>
            <w:shd w:val="clear" w:color="auto" w:fill="2D53A6"/>
          </w:tcPr>
          <w:p>
            <w:pPr>
              <w:jc w:val="center"/>
              <w:spacing w:after="0" w:line="177" w:lineRule="exact"/>
              <w:rPr>
                <w:sz w:val="20"/>
                <w:szCs w:val="20"/>
                <w:color w:val="auto"/>
              </w:rPr>
            </w:pPr>
            <w:r>
              <w:rPr>
                <w:rFonts w:ascii="Arial" w:cs="Arial" w:eastAsia="Arial" w:hAnsi="Arial"/>
                <w:sz w:val="18"/>
                <w:szCs w:val="18"/>
                <w:b w:val="1"/>
                <w:bCs w:val="1"/>
                <w:color w:val="FFFFFF"/>
                <w:w w:val="99"/>
              </w:rPr>
              <w:t>COBRA</w:t>
            </w:r>
          </w:p>
        </w:tc>
        <w:tc>
          <w:tcPr>
            <w:tcW w:w="1760" w:type="dxa"/>
            <w:vAlign w:val="bottom"/>
            <w:tcBorders>
              <w:right w:val="single" w:sz="8" w:color="0033A0"/>
            </w:tcBorders>
            <w:shd w:val="clear" w:color="auto" w:fill="2D53A6"/>
          </w:tcPr>
          <w:p>
            <w:pPr>
              <w:spacing w:after="0"/>
              <w:rPr>
                <w:sz w:val="15"/>
                <w:szCs w:val="15"/>
                <w:color w:val="auto"/>
              </w:rPr>
            </w:pPr>
          </w:p>
        </w:tc>
        <w:tc>
          <w:tcPr>
            <w:tcW w:w="2040" w:type="dxa"/>
            <w:vAlign w:val="bottom"/>
            <w:shd w:val="clear" w:color="auto" w:fill="2D53A6"/>
          </w:tcPr>
          <w:p>
            <w:pPr>
              <w:jc w:val="center"/>
              <w:spacing w:after="0" w:line="177" w:lineRule="exact"/>
              <w:rPr>
                <w:sz w:val="20"/>
                <w:szCs w:val="20"/>
                <w:color w:val="auto"/>
              </w:rPr>
            </w:pPr>
            <w:r>
              <w:rPr>
                <w:rFonts w:ascii="Arial" w:cs="Arial" w:eastAsia="Arial" w:hAnsi="Arial"/>
                <w:sz w:val="18"/>
                <w:szCs w:val="18"/>
                <w:b w:val="1"/>
                <w:bCs w:val="1"/>
                <w:color w:val="FFFFFF"/>
                <w:w w:val="99"/>
              </w:rPr>
              <w:t>COBRA</w:t>
            </w:r>
          </w:p>
        </w:tc>
        <w:tc>
          <w:tcPr>
            <w:tcW w:w="0" w:type="dxa"/>
            <w:vAlign w:val="bottom"/>
          </w:tcPr>
          <w:p>
            <w:pPr>
              <w:spacing w:after="0"/>
              <w:rPr>
                <w:sz w:val="1"/>
                <w:szCs w:val="1"/>
                <w:color w:val="auto"/>
              </w:rPr>
            </w:pPr>
          </w:p>
        </w:tc>
      </w:tr>
      <w:tr>
        <w:trPr>
          <w:trHeight w:val="203"/>
        </w:trPr>
        <w:tc>
          <w:tcPr>
            <w:tcW w:w="3640" w:type="dxa"/>
            <w:vAlign w:val="bottom"/>
            <w:tcBorders>
              <w:right w:val="single" w:sz="8" w:color="2D53A6"/>
            </w:tcBorders>
            <w:shd w:val="clear" w:color="auto" w:fill="2D53A6"/>
          </w:tcPr>
          <w:p>
            <w:pPr>
              <w:spacing w:after="0" w:line="202" w:lineRule="exact"/>
              <w:rPr>
                <w:sz w:val="20"/>
                <w:szCs w:val="20"/>
                <w:color w:val="auto"/>
              </w:rPr>
            </w:pPr>
            <w:r>
              <w:rPr>
                <w:rFonts w:ascii="Arial" w:cs="Arial" w:eastAsia="Arial" w:hAnsi="Arial"/>
                <w:sz w:val="18"/>
                <w:szCs w:val="18"/>
                <w:b w:val="1"/>
                <w:bCs w:val="1"/>
                <w:color w:val="FFFFFF"/>
              </w:rPr>
              <w:t>Named Executive Officer</w:t>
            </w:r>
          </w:p>
        </w:tc>
        <w:tc>
          <w:tcPr>
            <w:tcW w:w="1740" w:type="dxa"/>
            <w:vAlign w:val="bottom"/>
            <w:tcBorders>
              <w:right w:val="single" w:sz="8" w:color="0033A0"/>
            </w:tcBorders>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9"/>
              </w:rPr>
              <w:t>Multiplier</w:t>
            </w:r>
          </w:p>
        </w:tc>
        <w:tc>
          <w:tcPr>
            <w:tcW w:w="2060" w:type="dxa"/>
            <w:vAlign w:val="bottom"/>
            <w:tcBorders>
              <w:right w:val="single" w:sz="8" w:color="0033A0"/>
            </w:tcBorders>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8"/>
              </w:rPr>
              <w:t>Premium</w:t>
            </w:r>
          </w:p>
        </w:tc>
        <w:tc>
          <w:tcPr>
            <w:tcW w:w="1760" w:type="dxa"/>
            <w:vAlign w:val="bottom"/>
            <w:tcBorders>
              <w:right w:val="single" w:sz="8" w:color="0033A0"/>
            </w:tcBorders>
            <w:shd w:val="clear" w:color="auto" w:fill="2D53A6"/>
          </w:tcPr>
          <w:p>
            <w:pPr>
              <w:ind w:left="460"/>
              <w:spacing w:after="0" w:line="202" w:lineRule="exact"/>
              <w:rPr>
                <w:sz w:val="20"/>
                <w:szCs w:val="20"/>
                <w:color w:val="auto"/>
              </w:rPr>
            </w:pPr>
            <w:r>
              <w:rPr>
                <w:rFonts w:ascii="Arial" w:cs="Arial" w:eastAsia="Arial" w:hAnsi="Arial"/>
                <w:sz w:val="18"/>
                <w:szCs w:val="18"/>
                <w:b w:val="1"/>
                <w:bCs w:val="1"/>
                <w:color w:val="FFFFFF"/>
              </w:rPr>
              <w:t>Multiplier</w:t>
            </w:r>
          </w:p>
        </w:tc>
        <w:tc>
          <w:tcPr>
            <w:tcW w:w="2040" w:type="dxa"/>
            <w:vAlign w:val="bottom"/>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rPr>
              <w:t>Premium</w:t>
            </w:r>
          </w:p>
        </w:tc>
        <w:tc>
          <w:tcPr>
            <w:tcW w:w="0" w:type="dxa"/>
            <w:vAlign w:val="bottom"/>
          </w:tcPr>
          <w:p>
            <w:pPr>
              <w:spacing w:after="0"/>
              <w:rPr>
                <w:sz w:val="1"/>
                <w:szCs w:val="1"/>
                <w:color w:val="auto"/>
              </w:rPr>
            </w:pPr>
          </w:p>
        </w:tc>
      </w:tr>
      <w:tr>
        <w:trPr>
          <w:trHeight w:val="221"/>
        </w:trPr>
        <w:tc>
          <w:tcPr>
            <w:tcW w:w="3640" w:type="dxa"/>
            <w:vAlign w:val="bottom"/>
            <w:tcBorders>
              <w:bottom w:val="single" w:sz="8" w:color="0033A0"/>
              <w:right w:val="single" w:sz="8" w:color="2D53A6"/>
            </w:tcBorders>
            <w:shd w:val="clear" w:color="auto" w:fill="2D53A6"/>
          </w:tcPr>
          <w:p>
            <w:pPr>
              <w:spacing w:after="0"/>
              <w:rPr>
                <w:sz w:val="19"/>
                <w:szCs w:val="19"/>
                <w:color w:val="auto"/>
              </w:rPr>
            </w:pPr>
          </w:p>
        </w:tc>
        <w:tc>
          <w:tcPr>
            <w:tcW w:w="1740" w:type="dxa"/>
            <w:vAlign w:val="bottom"/>
            <w:tcBorders>
              <w:bottom w:val="single" w:sz="8" w:color="0033A0"/>
              <w:right w:val="single" w:sz="8" w:color="0033A0"/>
            </w:tcBorders>
            <w:shd w:val="clear" w:color="auto" w:fill="2D53A6"/>
          </w:tcPr>
          <w:p>
            <w:pPr>
              <w:spacing w:after="0"/>
              <w:rPr>
                <w:sz w:val="19"/>
                <w:szCs w:val="19"/>
                <w:color w:val="auto"/>
              </w:rPr>
            </w:pPr>
          </w:p>
        </w:tc>
        <w:tc>
          <w:tcPr>
            <w:tcW w:w="2060" w:type="dxa"/>
            <w:vAlign w:val="bottom"/>
            <w:tcBorders>
              <w:bottom w:val="single" w:sz="8" w:color="0033A0"/>
              <w:right w:val="single" w:sz="8" w:color="0033A0"/>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Payment Period</w:t>
            </w:r>
          </w:p>
        </w:tc>
        <w:tc>
          <w:tcPr>
            <w:tcW w:w="1760" w:type="dxa"/>
            <w:vAlign w:val="bottom"/>
            <w:tcBorders>
              <w:bottom w:val="single" w:sz="8" w:color="0033A0"/>
              <w:right w:val="single" w:sz="8" w:color="0033A0"/>
            </w:tcBorders>
            <w:shd w:val="clear" w:color="auto" w:fill="2D53A6"/>
          </w:tcPr>
          <w:p>
            <w:pPr>
              <w:spacing w:after="0"/>
              <w:rPr>
                <w:sz w:val="19"/>
                <w:szCs w:val="19"/>
                <w:color w:val="auto"/>
              </w:rPr>
            </w:pPr>
          </w:p>
        </w:tc>
        <w:tc>
          <w:tcPr>
            <w:tcW w:w="2040" w:type="dxa"/>
            <w:vAlign w:val="bottom"/>
            <w:tcBorders>
              <w:bottom w:val="single" w:sz="8" w:color="0033A0"/>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Payment Period</w:t>
            </w:r>
          </w:p>
        </w:tc>
        <w:tc>
          <w:tcPr>
            <w:tcW w:w="0" w:type="dxa"/>
            <w:vAlign w:val="bottom"/>
          </w:tcPr>
          <w:p>
            <w:pPr>
              <w:spacing w:after="0"/>
              <w:rPr>
                <w:sz w:val="1"/>
                <w:szCs w:val="1"/>
                <w:color w:val="auto"/>
              </w:rPr>
            </w:pPr>
          </w:p>
        </w:tc>
      </w:tr>
      <w:tr>
        <w:trPr>
          <w:trHeight w:val="179"/>
        </w:trPr>
        <w:tc>
          <w:tcPr>
            <w:tcW w:w="3640" w:type="dxa"/>
            <w:vAlign w:val="bottom"/>
            <w:tcBorders>
              <w:right w:val="single" w:sz="8" w:color="2D53A6"/>
            </w:tcBorders>
          </w:tcPr>
          <w:p>
            <w:pPr>
              <w:spacing w:after="0" w:line="179" w:lineRule="exact"/>
              <w:rPr>
                <w:sz w:val="20"/>
                <w:szCs w:val="20"/>
                <w:color w:val="auto"/>
              </w:rPr>
            </w:pPr>
            <w:r>
              <w:rPr>
                <w:rFonts w:ascii="Arial" w:cs="Arial" w:eastAsia="Arial" w:hAnsi="Arial"/>
                <w:sz w:val="18"/>
                <w:szCs w:val="18"/>
                <w:color w:val="auto"/>
              </w:rPr>
              <w:t>Luis A. Müller</w:t>
            </w: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99"/>
              </w:rPr>
              <w:t>150%</w:t>
            </w: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18 months</w:t>
            </w:r>
          </w:p>
        </w:tc>
        <w:tc>
          <w:tcPr>
            <w:tcW w:w="1760" w:type="dxa"/>
            <w:vAlign w:val="bottom"/>
            <w:vMerge w:val="restart"/>
          </w:tcPr>
          <w:p>
            <w:pPr>
              <w:ind w:left="640"/>
              <w:spacing w:after="0"/>
              <w:rPr>
                <w:sz w:val="20"/>
                <w:szCs w:val="20"/>
                <w:color w:val="auto"/>
              </w:rPr>
            </w:pPr>
            <w:r>
              <w:rPr>
                <w:rFonts w:ascii="Arial" w:cs="Arial" w:eastAsia="Arial" w:hAnsi="Arial"/>
                <w:sz w:val="18"/>
                <w:szCs w:val="18"/>
                <w:color w:val="auto"/>
              </w:rPr>
              <w:t>200%</w:t>
            </w:r>
          </w:p>
        </w:tc>
        <w:tc>
          <w:tcPr>
            <w:tcW w:w="2040" w:type="dxa"/>
            <w:vAlign w:val="bottom"/>
            <w:vMerge w:val="restart"/>
          </w:tcPr>
          <w:p>
            <w:pPr>
              <w:jc w:val="center"/>
              <w:spacing w:after="0"/>
              <w:rPr>
                <w:sz w:val="20"/>
                <w:szCs w:val="20"/>
                <w:color w:val="auto"/>
              </w:rPr>
            </w:pPr>
            <w:r>
              <w:rPr>
                <w:rFonts w:ascii="Arial" w:cs="Arial" w:eastAsia="Arial" w:hAnsi="Arial"/>
                <w:sz w:val="18"/>
                <w:szCs w:val="18"/>
                <w:color w:val="auto"/>
                <w:w w:val="99"/>
              </w:rPr>
              <w:t>24 months</w:t>
            </w:r>
          </w:p>
        </w:tc>
        <w:tc>
          <w:tcPr>
            <w:tcW w:w="0" w:type="dxa"/>
            <w:vAlign w:val="bottom"/>
          </w:tcPr>
          <w:p>
            <w:pPr>
              <w:spacing w:after="0"/>
              <w:rPr>
                <w:sz w:val="1"/>
                <w:szCs w:val="1"/>
                <w:color w:val="auto"/>
              </w:rPr>
            </w:pPr>
          </w:p>
        </w:tc>
      </w:tr>
      <w:tr>
        <w:trPr>
          <w:trHeight w:val="129"/>
        </w:trPr>
        <w:tc>
          <w:tcPr>
            <w:tcW w:w="364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i w:val="1"/>
                <w:iCs w:val="1"/>
                <w:color w:val="auto"/>
              </w:rPr>
              <w:t>President &amp; CEO</w:t>
            </w:r>
          </w:p>
        </w:tc>
        <w:tc>
          <w:tcPr>
            <w:tcW w:w="1740" w:type="dxa"/>
            <w:vAlign w:val="bottom"/>
            <w:vMerge w:val="continue"/>
          </w:tcPr>
          <w:p>
            <w:pPr>
              <w:spacing w:after="0"/>
              <w:rPr>
                <w:sz w:val="11"/>
                <w:szCs w:val="11"/>
                <w:color w:val="auto"/>
              </w:rPr>
            </w:pPr>
          </w:p>
        </w:tc>
        <w:tc>
          <w:tcPr>
            <w:tcW w:w="2060" w:type="dxa"/>
            <w:vAlign w:val="bottom"/>
            <w:vMerge w:val="continue"/>
          </w:tcPr>
          <w:p>
            <w:pPr>
              <w:spacing w:after="0"/>
              <w:rPr>
                <w:sz w:val="11"/>
                <w:szCs w:val="11"/>
                <w:color w:val="auto"/>
              </w:rPr>
            </w:pPr>
          </w:p>
        </w:tc>
        <w:tc>
          <w:tcPr>
            <w:tcW w:w="17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3640" w:type="dxa"/>
            <w:vAlign w:val="bottom"/>
            <w:tcBorders>
              <w:bottom w:val="single" w:sz="8" w:color="2D53A6"/>
              <w:right w:val="single" w:sz="8" w:color="2D53A6"/>
            </w:tcBorders>
            <w:vMerge w:val="continue"/>
          </w:tcPr>
          <w:p>
            <w:pPr>
              <w:spacing w:after="0"/>
              <w:rPr>
                <w:sz w:val="7"/>
                <w:szCs w:val="7"/>
                <w:color w:val="auto"/>
              </w:rPr>
            </w:pPr>
          </w:p>
        </w:tc>
        <w:tc>
          <w:tcPr>
            <w:tcW w:w="1740" w:type="dxa"/>
            <w:vAlign w:val="bottom"/>
            <w:tcBorders>
              <w:bottom w:val="single" w:sz="8" w:color="2D53A6"/>
            </w:tcBorders>
          </w:tcPr>
          <w:p>
            <w:pPr>
              <w:spacing w:after="0"/>
              <w:rPr>
                <w:sz w:val="7"/>
                <w:szCs w:val="7"/>
                <w:color w:val="auto"/>
              </w:rPr>
            </w:pPr>
          </w:p>
        </w:tc>
        <w:tc>
          <w:tcPr>
            <w:tcW w:w="2060" w:type="dxa"/>
            <w:vAlign w:val="bottom"/>
            <w:tcBorders>
              <w:bottom w:val="single" w:sz="8" w:color="2D53A6"/>
            </w:tcBorders>
          </w:tcPr>
          <w:p>
            <w:pPr>
              <w:spacing w:after="0"/>
              <w:rPr>
                <w:sz w:val="7"/>
                <w:szCs w:val="7"/>
                <w:color w:val="auto"/>
              </w:rPr>
            </w:pPr>
          </w:p>
        </w:tc>
        <w:tc>
          <w:tcPr>
            <w:tcW w:w="1760" w:type="dxa"/>
            <w:vAlign w:val="bottom"/>
            <w:tcBorders>
              <w:bottom w:val="single" w:sz="8" w:color="2D53A6"/>
            </w:tcBorders>
          </w:tcPr>
          <w:p>
            <w:pPr>
              <w:spacing w:after="0"/>
              <w:rPr>
                <w:sz w:val="7"/>
                <w:szCs w:val="7"/>
                <w:color w:val="auto"/>
              </w:rPr>
            </w:pPr>
          </w:p>
        </w:tc>
        <w:tc>
          <w:tcPr>
            <w:tcW w:w="2040" w:type="dxa"/>
            <w:vAlign w:val="bottom"/>
            <w:tcBorders>
              <w:bottom w:val="single" w:sz="8" w:color="2D53A6"/>
            </w:tcBorders>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3640" w:type="dxa"/>
            <w:vAlign w:val="bottom"/>
            <w:tcBorders>
              <w:right w:val="single" w:sz="8" w:color="2D53A6"/>
            </w:tcBorders>
            <w:shd w:val="clear" w:color="auto" w:fill="E6E6E6"/>
          </w:tcPr>
          <w:p>
            <w:pPr>
              <w:spacing w:after="0" w:line="179" w:lineRule="exact"/>
              <w:rPr>
                <w:sz w:val="20"/>
                <w:szCs w:val="20"/>
                <w:color w:val="auto"/>
              </w:rPr>
            </w:pPr>
            <w:r>
              <w:rPr>
                <w:rFonts w:ascii="Arial" w:cs="Arial" w:eastAsia="Arial" w:hAnsi="Arial"/>
                <w:sz w:val="18"/>
                <w:szCs w:val="18"/>
                <w:color w:val="auto"/>
              </w:rPr>
              <w:t>Jeffrey D. Jones</w:t>
            </w:r>
          </w:p>
        </w:tc>
        <w:tc>
          <w:tcPr>
            <w:tcW w:w="1740" w:type="dxa"/>
            <w:vAlign w:val="bottom"/>
            <w:tcBorders>
              <w:right w:val="single" w:sz="8" w:color="0033A0"/>
            </w:tcBorders>
            <w:vMerge w:val="restart"/>
            <w:shd w:val="clear" w:color="auto" w:fill="E6E6E6"/>
          </w:tcPr>
          <w:p>
            <w:pPr>
              <w:jc w:val="center"/>
              <w:spacing w:after="0"/>
              <w:rPr>
                <w:sz w:val="20"/>
                <w:szCs w:val="20"/>
                <w:color w:val="auto"/>
              </w:rPr>
            </w:pPr>
            <w:r>
              <w:rPr>
                <w:rFonts w:ascii="Arial" w:cs="Arial" w:eastAsia="Arial" w:hAnsi="Arial"/>
                <w:sz w:val="18"/>
                <w:szCs w:val="18"/>
                <w:color w:val="auto"/>
                <w:w w:val="99"/>
              </w:rPr>
              <w:t>100%</w:t>
            </w:r>
          </w:p>
        </w:tc>
        <w:tc>
          <w:tcPr>
            <w:tcW w:w="2060" w:type="dxa"/>
            <w:vAlign w:val="bottom"/>
            <w:tcBorders>
              <w:right w:val="single" w:sz="8" w:color="0033A0"/>
            </w:tcBorders>
            <w:vMerge w:val="restart"/>
            <w:shd w:val="clear" w:color="auto" w:fill="E6E6E6"/>
          </w:tcPr>
          <w:p>
            <w:pPr>
              <w:jc w:val="center"/>
              <w:spacing w:after="0"/>
              <w:rPr>
                <w:sz w:val="20"/>
                <w:szCs w:val="20"/>
                <w:color w:val="auto"/>
              </w:rPr>
            </w:pPr>
            <w:r>
              <w:rPr>
                <w:rFonts w:ascii="Arial" w:cs="Arial" w:eastAsia="Arial" w:hAnsi="Arial"/>
                <w:sz w:val="18"/>
                <w:szCs w:val="18"/>
                <w:color w:val="auto"/>
                <w:w w:val="99"/>
              </w:rPr>
              <w:t>12 months</w:t>
            </w:r>
          </w:p>
        </w:tc>
        <w:tc>
          <w:tcPr>
            <w:tcW w:w="1760" w:type="dxa"/>
            <w:vAlign w:val="bottom"/>
            <w:tcBorders>
              <w:right w:val="single" w:sz="8" w:color="0033A0"/>
            </w:tcBorders>
            <w:vMerge w:val="restart"/>
            <w:shd w:val="clear" w:color="auto" w:fill="E6E6E6"/>
          </w:tcPr>
          <w:p>
            <w:pPr>
              <w:ind w:left="640"/>
              <w:spacing w:after="0"/>
              <w:rPr>
                <w:sz w:val="20"/>
                <w:szCs w:val="20"/>
                <w:color w:val="auto"/>
              </w:rPr>
            </w:pPr>
            <w:r>
              <w:rPr>
                <w:rFonts w:ascii="Arial" w:cs="Arial" w:eastAsia="Arial" w:hAnsi="Arial"/>
                <w:sz w:val="18"/>
                <w:szCs w:val="18"/>
                <w:color w:val="auto"/>
              </w:rPr>
              <w:t>150%</w:t>
            </w:r>
          </w:p>
        </w:tc>
        <w:tc>
          <w:tcPr>
            <w:tcW w:w="2040" w:type="dxa"/>
            <w:vAlign w:val="bottom"/>
            <w:vMerge w:val="restart"/>
            <w:shd w:val="clear" w:color="auto" w:fill="E6E6E6"/>
          </w:tcPr>
          <w:p>
            <w:pPr>
              <w:jc w:val="center"/>
              <w:spacing w:after="0"/>
              <w:rPr>
                <w:sz w:val="20"/>
                <w:szCs w:val="20"/>
                <w:color w:val="auto"/>
              </w:rPr>
            </w:pPr>
            <w:r>
              <w:rPr>
                <w:rFonts w:ascii="Arial" w:cs="Arial" w:eastAsia="Arial" w:hAnsi="Arial"/>
                <w:sz w:val="18"/>
                <w:szCs w:val="18"/>
                <w:color w:val="auto"/>
                <w:w w:val="99"/>
              </w:rPr>
              <w:t>18 months</w:t>
            </w:r>
          </w:p>
        </w:tc>
        <w:tc>
          <w:tcPr>
            <w:tcW w:w="0" w:type="dxa"/>
            <w:vAlign w:val="bottom"/>
          </w:tcPr>
          <w:p>
            <w:pPr>
              <w:spacing w:after="0"/>
              <w:rPr>
                <w:sz w:val="1"/>
                <w:szCs w:val="1"/>
                <w:color w:val="auto"/>
              </w:rPr>
            </w:pPr>
          </w:p>
        </w:tc>
      </w:tr>
      <w:tr>
        <w:trPr>
          <w:trHeight w:val="203"/>
        </w:trPr>
        <w:tc>
          <w:tcPr>
            <w:tcW w:w="3640" w:type="dxa"/>
            <w:vAlign w:val="bottom"/>
            <w:tcBorders>
              <w:right w:val="single" w:sz="8" w:color="2D53A6"/>
            </w:tcBorders>
            <w:shd w:val="clear" w:color="auto" w:fill="E6E6E6"/>
          </w:tcPr>
          <w:p>
            <w:pPr>
              <w:spacing w:after="0" w:line="202" w:lineRule="exact"/>
              <w:rPr>
                <w:sz w:val="20"/>
                <w:szCs w:val="20"/>
                <w:color w:val="auto"/>
              </w:rPr>
            </w:pPr>
            <w:r>
              <w:rPr>
                <w:rFonts w:ascii="Arial" w:cs="Arial" w:eastAsia="Arial" w:hAnsi="Arial"/>
                <w:sz w:val="18"/>
                <w:szCs w:val="18"/>
                <w:i w:val="1"/>
                <w:iCs w:val="1"/>
                <w:color w:val="auto"/>
              </w:rPr>
              <w:t>Sr. Vice President, Finance &amp; Chief Financial</w:t>
            </w:r>
          </w:p>
        </w:tc>
        <w:tc>
          <w:tcPr>
            <w:tcW w:w="1740" w:type="dxa"/>
            <w:vAlign w:val="bottom"/>
            <w:tcBorders>
              <w:right w:val="single" w:sz="8" w:color="0033A0"/>
            </w:tcBorders>
            <w:vMerge w:val="continue"/>
            <w:shd w:val="clear" w:color="auto" w:fill="E6E6E6"/>
          </w:tcPr>
          <w:p>
            <w:pPr>
              <w:spacing w:after="0"/>
              <w:rPr>
                <w:sz w:val="17"/>
                <w:szCs w:val="17"/>
                <w:color w:val="auto"/>
              </w:rPr>
            </w:pPr>
          </w:p>
        </w:tc>
        <w:tc>
          <w:tcPr>
            <w:tcW w:w="2060" w:type="dxa"/>
            <w:vAlign w:val="bottom"/>
            <w:tcBorders>
              <w:right w:val="single" w:sz="8" w:color="0033A0"/>
            </w:tcBorders>
            <w:vMerge w:val="continue"/>
            <w:shd w:val="clear" w:color="auto" w:fill="E6E6E6"/>
          </w:tcPr>
          <w:p>
            <w:pPr>
              <w:spacing w:after="0"/>
              <w:rPr>
                <w:sz w:val="17"/>
                <w:szCs w:val="17"/>
                <w:color w:val="auto"/>
              </w:rPr>
            </w:pPr>
          </w:p>
        </w:tc>
        <w:tc>
          <w:tcPr>
            <w:tcW w:w="1760" w:type="dxa"/>
            <w:vAlign w:val="bottom"/>
            <w:tcBorders>
              <w:right w:val="single" w:sz="8" w:color="0033A0"/>
            </w:tcBorders>
            <w:vMerge w:val="continue"/>
            <w:shd w:val="clear" w:color="auto" w:fill="E6E6E6"/>
          </w:tcPr>
          <w:p>
            <w:pPr>
              <w:spacing w:after="0"/>
              <w:rPr>
                <w:sz w:val="17"/>
                <w:szCs w:val="17"/>
                <w:color w:val="auto"/>
              </w:rPr>
            </w:pPr>
          </w:p>
        </w:tc>
        <w:tc>
          <w:tcPr>
            <w:tcW w:w="2040" w:type="dxa"/>
            <w:vAlign w:val="bottom"/>
            <w:vMerge w:val="continue"/>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i w:val="1"/>
                <w:iCs w:val="1"/>
                <w:color w:val="auto"/>
              </w:rPr>
              <w:t>Officer</w:t>
            </w:r>
          </w:p>
        </w:tc>
        <w:tc>
          <w:tcPr>
            <w:tcW w:w="1740" w:type="dxa"/>
            <w:vAlign w:val="bottom"/>
            <w:tcBorders>
              <w:bottom w:val="single" w:sz="8" w:color="0033A0"/>
              <w:right w:val="single" w:sz="8" w:color="0033A0"/>
            </w:tcBorders>
            <w:shd w:val="clear" w:color="auto" w:fill="E6E6E6"/>
          </w:tcPr>
          <w:p>
            <w:pPr>
              <w:spacing w:after="0"/>
              <w:rPr>
                <w:sz w:val="19"/>
                <w:szCs w:val="19"/>
                <w:color w:val="auto"/>
              </w:rPr>
            </w:pPr>
          </w:p>
        </w:tc>
        <w:tc>
          <w:tcPr>
            <w:tcW w:w="2060" w:type="dxa"/>
            <w:vAlign w:val="bottom"/>
            <w:tcBorders>
              <w:bottom w:val="single" w:sz="8" w:color="0033A0"/>
              <w:right w:val="single" w:sz="8" w:color="0033A0"/>
            </w:tcBorders>
            <w:shd w:val="clear" w:color="auto" w:fill="E6E6E6"/>
          </w:tcPr>
          <w:p>
            <w:pPr>
              <w:spacing w:after="0"/>
              <w:rPr>
                <w:sz w:val="19"/>
                <w:szCs w:val="19"/>
                <w:color w:val="auto"/>
              </w:rPr>
            </w:pPr>
          </w:p>
        </w:tc>
        <w:tc>
          <w:tcPr>
            <w:tcW w:w="1760" w:type="dxa"/>
            <w:vAlign w:val="bottom"/>
            <w:tcBorders>
              <w:bottom w:val="single" w:sz="8" w:color="0033A0"/>
              <w:right w:val="single" w:sz="8" w:color="0033A0"/>
            </w:tcBorders>
            <w:shd w:val="clear" w:color="auto" w:fill="E6E6E6"/>
          </w:tcPr>
          <w:p>
            <w:pPr>
              <w:spacing w:after="0"/>
              <w:rPr>
                <w:sz w:val="19"/>
                <w:szCs w:val="19"/>
                <w:color w:val="auto"/>
              </w:rPr>
            </w:pPr>
          </w:p>
        </w:tc>
        <w:tc>
          <w:tcPr>
            <w:tcW w:w="2040" w:type="dxa"/>
            <w:vAlign w:val="bottom"/>
            <w:tcBorders>
              <w:bottom w:val="single" w:sz="8" w:color="0033A0"/>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640" w:type="dxa"/>
            <w:vAlign w:val="bottom"/>
            <w:tcBorders>
              <w:right w:val="single" w:sz="8" w:color="2D53A6"/>
            </w:tcBorders>
          </w:tcPr>
          <w:p>
            <w:pPr>
              <w:spacing w:after="0" w:line="179" w:lineRule="exact"/>
              <w:rPr>
                <w:sz w:val="20"/>
                <w:szCs w:val="20"/>
                <w:color w:val="auto"/>
              </w:rPr>
            </w:pPr>
            <w:r>
              <w:rPr>
                <w:rFonts w:ascii="Arial" w:cs="Arial" w:eastAsia="Arial" w:hAnsi="Arial"/>
                <w:sz w:val="18"/>
                <w:szCs w:val="18"/>
                <w:color w:val="auto"/>
              </w:rPr>
              <w:t>Christopher G. Bohrson</w:t>
            </w: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99"/>
              </w:rPr>
              <w:t>100%</w:t>
            </w: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12 months</w:t>
            </w:r>
          </w:p>
        </w:tc>
        <w:tc>
          <w:tcPr>
            <w:tcW w:w="1760" w:type="dxa"/>
            <w:vAlign w:val="bottom"/>
            <w:vMerge w:val="restart"/>
          </w:tcPr>
          <w:p>
            <w:pPr>
              <w:ind w:left="640"/>
              <w:spacing w:after="0"/>
              <w:rPr>
                <w:sz w:val="20"/>
                <w:szCs w:val="20"/>
                <w:color w:val="auto"/>
              </w:rPr>
            </w:pPr>
            <w:r>
              <w:rPr>
                <w:rFonts w:ascii="Arial" w:cs="Arial" w:eastAsia="Arial" w:hAnsi="Arial"/>
                <w:sz w:val="18"/>
                <w:szCs w:val="18"/>
                <w:color w:val="auto"/>
              </w:rPr>
              <w:t>150%</w:t>
            </w:r>
          </w:p>
        </w:tc>
        <w:tc>
          <w:tcPr>
            <w:tcW w:w="2040" w:type="dxa"/>
            <w:vAlign w:val="bottom"/>
            <w:vMerge w:val="restart"/>
          </w:tcPr>
          <w:p>
            <w:pPr>
              <w:jc w:val="center"/>
              <w:spacing w:after="0"/>
              <w:rPr>
                <w:sz w:val="20"/>
                <w:szCs w:val="20"/>
                <w:color w:val="auto"/>
              </w:rPr>
            </w:pPr>
            <w:r>
              <w:rPr>
                <w:rFonts w:ascii="Arial" w:cs="Arial" w:eastAsia="Arial" w:hAnsi="Arial"/>
                <w:sz w:val="18"/>
                <w:szCs w:val="18"/>
                <w:color w:val="auto"/>
                <w:w w:val="99"/>
              </w:rPr>
              <w:t>18 months</w:t>
            </w:r>
          </w:p>
        </w:tc>
        <w:tc>
          <w:tcPr>
            <w:tcW w:w="0" w:type="dxa"/>
            <w:vAlign w:val="bottom"/>
          </w:tcPr>
          <w:p>
            <w:pPr>
              <w:spacing w:after="0"/>
              <w:rPr>
                <w:sz w:val="1"/>
                <w:szCs w:val="1"/>
                <w:color w:val="auto"/>
              </w:rPr>
            </w:pPr>
          </w:p>
        </w:tc>
      </w:tr>
      <w:tr>
        <w:trPr>
          <w:trHeight w:val="129"/>
        </w:trPr>
        <w:tc>
          <w:tcPr>
            <w:tcW w:w="364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i w:val="1"/>
                <w:iCs w:val="1"/>
                <w:color w:val="auto"/>
              </w:rPr>
              <w:t>Sr. Vice President, Chief Customer Officer</w:t>
            </w:r>
          </w:p>
        </w:tc>
        <w:tc>
          <w:tcPr>
            <w:tcW w:w="1740" w:type="dxa"/>
            <w:vAlign w:val="bottom"/>
            <w:vMerge w:val="continue"/>
          </w:tcPr>
          <w:p>
            <w:pPr>
              <w:spacing w:after="0"/>
              <w:rPr>
                <w:sz w:val="11"/>
                <w:szCs w:val="11"/>
                <w:color w:val="auto"/>
              </w:rPr>
            </w:pPr>
          </w:p>
        </w:tc>
        <w:tc>
          <w:tcPr>
            <w:tcW w:w="2060" w:type="dxa"/>
            <w:vAlign w:val="bottom"/>
            <w:vMerge w:val="continue"/>
          </w:tcPr>
          <w:p>
            <w:pPr>
              <w:spacing w:after="0"/>
              <w:rPr>
                <w:sz w:val="11"/>
                <w:szCs w:val="11"/>
                <w:color w:val="auto"/>
              </w:rPr>
            </w:pPr>
          </w:p>
        </w:tc>
        <w:tc>
          <w:tcPr>
            <w:tcW w:w="17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3640" w:type="dxa"/>
            <w:vAlign w:val="bottom"/>
            <w:tcBorders>
              <w:bottom w:val="single" w:sz="8" w:color="2D53A6"/>
              <w:right w:val="single" w:sz="8" w:color="2D53A6"/>
            </w:tcBorders>
            <w:vMerge w:val="continue"/>
          </w:tcPr>
          <w:p>
            <w:pPr>
              <w:spacing w:after="0"/>
              <w:rPr>
                <w:sz w:val="7"/>
                <w:szCs w:val="7"/>
                <w:color w:val="auto"/>
              </w:rPr>
            </w:pPr>
          </w:p>
        </w:tc>
        <w:tc>
          <w:tcPr>
            <w:tcW w:w="1740" w:type="dxa"/>
            <w:vAlign w:val="bottom"/>
            <w:tcBorders>
              <w:bottom w:val="single" w:sz="8" w:color="2D53A6"/>
            </w:tcBorders>
          </w:tcPr>
          <w:p>
            <w:pPr>
              <w:spacing w:after="0"/>
              <w:rPr>
                <w:sz w:val="7"/>
                <w:szCs w:val="7"/>
                <w:color w:val="auto"/>
              </w:rPr>
            </w:pPr>
          </w:p>
        </w:tc>
        <w:tc>
          <w:tcPr>
            <w:tcW w:w="2060" w:type="dxa"/>
            <w:vAlign w:val="bottom"/>
            <w:tcBorders>
              <w:bottom w:val="single" w:sz="8" w:color="2D53A6"/>
            </w:tcBorders>
          </w:tcPr>
          <w:p>
            <w:pPr>
              <w:spacing w:after="0"/>
              <w:rPr>
                <w:sz w:val="7"/>
                <w:szCs w:val="7"/>
                <w:color w:val="auto"/>
              </w:rPr>
            </w:pPr>
          </w:p>
        </w:tc>
        <w:tc>
          <w:tcPr>
            <w:tcW w:w="1760" w:type="dxa"/>
            <w:vAlign w:val="bottom"/>
            <w:tcBorders>
              <w:bottom w:val="single" w:sz="8" w:color="2D53A6"/>
            </w:tcBorders>
          </w:tcPr>
          <w:p>
            <w:pPr>
              <w:spacing w:after="0"/>
              <w:rPr>
                <w:sz w:val="7"/>
                <w:szCs w:val="7"/>
                <w:color w:val="auto"/>
              </w:rPr>
            </w:pPr>
          </w:p>
        </w:tc>
        <w:tc>
          <w:tcPr>
            <w:tcW w:w="2040" w:type="dxa"/>
            <w:vAlign w:val="bottom"/>
            <w:tcBorders>
              <w:bottom w:val="single" w:sz="8" w:color="2D53A6"/>
            </w:tcBorders>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3640" w:type="dxa"/>
            <w:vAlign w:val="bottom"/>
            <w:tcBorders>
              <w:right w:val="single" w:sz="8" w:color="2D53A6"/>
            </w:tcBorders>
            <w:shd w:val="clear" w:color="auto" w:fill="E6E6E6"/>
          </w:tcPr>
          <w:p>
            <w:pPr>
              <w:spacing w:after="0" w:line="179" w:lineRule="exact"/>
              <w:rPr>
                <w:sz w:val="20"/>
                <w:szCs w:val="20"/>
                <w:color w:val="auto"/>
              </w:rPr>
            </w:pPr>
            <w:r>
              <w:rPr>
                <w:rFonts w:ascii="Arial" w:cs="Arial" w:eastAsia="Arial" w:hAnsi="Arial"/>
                <w:sz w:val="18"/>
                <w:szCs w:val="18"/>
                <w:color w:val="auto"/>
              </w:rPr>
              <w:t>Thomas D. Kampfer</w:t>
            </w:r>
          </w:p>
        </w:tc>
        <w:tc>
          <w:tcPr>
            <w:tcW w:w="1740" w:type="dxa"/>
            <w:vAlign w:val="bottom"/>
            <w:tcBorders>
              <w:right w:val="single" w:sz="8" w:color="E6E6E6"/>
            </w:tcBorders>
            <w:vMerge w:val="restart"/>
            <w:shd w:val="clear" w:color="auto" w:fill="E6E6E6"/>
          </w:tcPr>
          <w:p>
            <w:pPr>
              <w:jc w:val="center"/>
              <w:spacing w:after="0"/>
              <w:rPr>
                <w:sz w:val="20"/>
                <w:szCs w:val="20"/>
                <w:color w:val="auto"/>
              </w:rPr>
            </w:pPr>
            <w:r>
              <w:rPr>
                <w:rFonts w:ascii="Arial" w:cs="Arial" w:eastAsia="Arial" w:hAnsi="Arial"/>
                <w:sz w:val="18"/>
                <w:szCs w:val="18"/>
                <w:color w:val="auto"/>
                <w:w w:val="99"/>
              </w:rPr>
              <w:t>100%</w:t>
            </w:r>
          </w:p>
        </w:tc>
        <w:tc>
          <w:tcPr>
            <w:tcW w:w="2060" w:type="dxa"/>
            <w:vAlign w:val="bottom"/>
            <w:tcBorders>
              <w:right w:val="single" w:sz="8" w:color="E6E6E6"/>
            </w:tcBorders>
            <w:vMerge w:val="restart"/>
            <w:shd w:val="clear" w:color="auto" w:fill="E6E6E6"/>
          </w:tcPr>
          <w:p>
            <w:pPr>
              <w:jc w:val="center"/>
              <w:spacing w:after="0"/>
              <w:rPr>
                <w:sz w:val="20"/>
                <w:szCs w:val="20"/>
                <w:color w:val="auto"/>
              </w:rPr>
            </w:pPr>
            <w:r>
              <w:rPr>
                <w:rFonts w:ascii="Arial" w:cs="Arial" w:eastAsia="Arial" w:hAnsi="Arial"/>
                <w:sz w:val="18"/>
                <w:szCs w:val="18"/>
                <w:color w:val="auto"/>
                <w:w w:val="99"/>
              </w:rPr>
              <w:t>12 months</w:t>
            </w:r>
          </w:p>
        </w:tc>
        <w:tc>
          <w:tcPr>
            <w:tcW w:w="1760" w:type="dxa"/>
            <w:vAlign w:val="bottom"/>
            <w:tcBorders>
              <w:right w:val="single" w:sz="8" w:color="E6E6E6"/>
            </w:tcBorders>
            <w:vMerge w:val="restart"/>
            <w:shd w:val="clear" w:color="auto" w:fill="E6E6E6"/>
          </w:tcPr>
          <w:p>
            <w:pPr>
              <w:ind w:left="640"/>
              <w:spacing w:after="0"/>
              <w:rPr>
                <w:sz w:val="20"/>
                <w:szCs w:val="20"/>
                <w:color w:val="auto"/>
              </w:rPr>
            </w:pPr>
            <w:r>
              <w:rPr>
                <w:rFonts w:ascii="Arial" w:cs="Arial" w:eastAsia="Arial" w:hAnsi="Arial"/>
                <w:sz w:val="18"/>
                <w:szCs w:val="18"/>
                <w:color w:val="auto"/>
              </w:rPr>
              <w:t>150%</w:t>
            </w:r>
          </w:p>
        </w:tc>
        <w:tc>
          <w:tcPr>
            <w:tcW w:w="2040" w:type="dxa"/>
            <w:vAlign w:val="bottom"/>
            <w:vMerge w:val="restart"/>
            <w:shd w:val="clear" w:color="auto" w:fill="E6E6E6"/>
          </w:tcPr>
          <w:p>
            <w:pPr>
              <w:jc w:val="center"/>
              <w:spacing w:after="0"/>
              <w:rPr>
                <w:sz w:val="20"/>
                <w:szCs w:val="20"/>
                <w:color w:val="auto"/>
              </w:rPr>
            </w:pPr>
            <w:r>
              <w:rPr>
                <w:rFonts w:ascii="Arial" w:cs="Arial" w:eastAsia="Arial" w:hAnsi="Arial"/>
                <w:sz w:val="18"/>
                <w:szCs w:val="18"/>
                <w:color w:val="auto"/>
                <w:w w:val="99"/>
              </w:rPr>
              <w:t>18 months</w:t>
            </w:r>
          </w:p>
        </w:tc>
        <w:tc>
          <w:tcPr>
            <w:tcW w:w="0" w:type="dxa"/>
            <w:vAlign w:val="bottom"/>
          </w:tcPr>
          <w:p>
            <w:pPr>
              <w:spacing w:after="0"/>
              <w:rPr>
                <w:sz w:val="1"/>
                <w:szCs w:val="1"/>
                <w:color w:val="auto"/>
              </w:rPr>
            </w:pPr>
          </w:p>
        </w:tc>
      </w:tr>
      <w:tr>
        <w:trPr>
          <w:trHeight w:val="129"/>
        </w:trPr>
        <w:tc>
          <w:tcPr>
            <w:tcW w:w="3640" w:type="dxa"/>
            <w:vAlign w:val="bottom"/>
            <w:tcBorders>
              <w:right w:val="single" w:sz="8" w:color="2D53A6"/>
            </w:tcBorders>
            <w:vMerge w:val="restart"/>
            <w:shd w:val="clear" w:color="auto" w:fill="E6E6E6"/>
          </w:tcPr>
          <w:p>
            <w:pPr>
              <w:spacing w:after="0"/>
              <w:rPr>
                <w:sz w:val="20"/>
                <w:szCs w:val="20"/>
                <w:color w:val="auto"/>
              </w:rPr>
            </w:pPr>
            <w:r>
              <w:rPr>
                <w:rFonts w:ascii="Arial" w:cs="Arial" w:eastAsia="Arial" w:hAnsi="Arial"/>
                <w:sz w:val="18"/>
                <w:szCs w:val="18"/>
                <w:i w:val="1"/>
                <w:iCs w:val="1"/>
                <w:color w:val="auto"/>
              </w:rPr>
              <w:t>Sr. Vice President Corporate Development</w:t>
            </w:r>
          </w:p>
        </w:tc>
        <w:tc>
          <w:tcPr>
            <w:tcW w:w="1740" w:type="dxa"/>
            <w:vAlign w:val="bottom"/>
            <w:tcBorders>
              <w:right w:val="single" w:sz="8" w:color="E6E6E6"/>
            </w:tcBorders>
            <w:vMerge w:val="continue"/>
            <w:shd w:val="clear" w:color="auto" w:fill="E6E6E6"/>
          </w:tcPr>
          <w:p>
            <w:pPr>
              <w:spacing w:after="0"/>
              <w:rPr>
                <w:sz w:val="11"/>
                <w:szCs w:val="11"/>
                <w:color w:val="auto"/>
              </w:rPr>
            </w:pPr>
          </w:p>
        </w:tc>
        <w:tc>
          <w:tcPr>
            <w:tcW w:w="2060" w:type="dxa"/>
            <w:vAlign w:val="bottom"/>
            <w:tcBorders>
              <w:right w:val="single" w:sz="8" w:color="E6E6E6"/>
            </w:tcBorders>
            <w:vMerge w:val="continue"/>
            <w:shd w:val="clear" w:color="auto" w:fill="E6E6E6"/>
          </w:tcPr>
          <w:p>
            <w:pPr>
              <w:spacing w:after="0"/>
              <w:rPr>
                <w:sz w:val="11"/>
                <w:szCs w:val="11"/>
                <w:color w:val="auto"/>
              </w:rPr>
            </w:pPr>
          </w:p>
        </w:tc>
        <w:tc>
          <w:tcPr>
            <w:tcW w:w="1760" w:type="dxa"/>
            <w:vAlign w:val="bottom"/>
            <w:tcBorders>
              <w:right w:val="single" w:sz="8" w:color="E6E6E6"/>
            </w:tcBorders>
            <w:vMerge w:val="continue"/>
            <w:shd w:val="clear" w:color="auto" w:fill="E6E6E6"/>
          </w:tcPr>
          <w:p>
            <w:pPr>
              <w:spacing w:after="0"/>
              <w:rPr>
                <w:sz w:val="11"/>
                <w:szCs w:val="11"/>
                <w:color w:val="auto"/>
              </w:rPr>
            </w:pPr>
          </w:p>
        </w:tc>
        <w:tc>
          <w:tcPr>
            <w:tcW w:w="2040" w:type="dxa"/>
            <w:vAlign w:val="bottom"/>
            <w:vMerge w:val="continue"/>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3640" w:type="dxa"/>
            <w:vAlign w:val="bottom"/>
            <w:tcBorders>
              <w:bottom w:val="single" w:sz="8" w:color="2D53A6"/>
              <w:right w:val="single" w:sz="8" w:color="2D53A6"/>
            </w:tcBorders>
            <w:vMerge w:val="continue"/>
            <w:shd w:val="clear" w:color="auto" w:fill="E6E6E6"/>
          </w:tcPr>
          <w:p>
            <w:pPr>
              <w:spacing w:after="0"/>
              <w:rPr>
                <w:sz w:val="7"/>
                <w:szCs w:val="7"/>
                <w:color w:val="auto"/>
              </w:rPr>
            </w:pPr>
          </w:p>
        </w:tc>
        <w:tc>
          <w:tcPr>
            <w:tcW w:w="1740" w:type="dxa"/>
            <w:vAlign w:val="bottom"/>
            <w:tcBorders>
              <w:bottom w:val="single" w:sz="8" w:color="2D53A6"/>
              <w:right w:val="single" w:sz="8" w:color="E6E6E6"/>
            </w:tcBorders>
            <w:shd w:val="clear" w:color="auto" w:fill="E6E6E6"/>
          </w:tcPr>
          <w:p>
            <w:pPr>
              <w:spacing w:after="0"/>
              <w:rPr>
                <w:sz w:val="7"/>
                <w:szCs w:val="7"/>
                <w:color w:val="auto"/>
              </w:rPr>
            </w:pPr>
          </w:p>
        </w:tc>
        <w:tc>
          <w:tcPr>
            <w:tcW w:w="2060" w:type="dxa"/>
            <w:vAlign w:val="bottom"/>
            <w:tcBorders>
              <w:bottom w:val="single" w:sz="8" w:color="2D53A6"/>
              <w:right w:val="single" w:sz="8" w:color="E6E6E6"/>
            </w:tcBorders>
            <w:shd w:val="clear" w:color="auto" w:fill="E6E6E6"/>
          </w:tcPr>
          <w:p>
            <w:pPr>
              <w:spacing w:after="0"/>
              <w:rPr>
                <w:sz w:val="7"/>
                <w:szCs w:val="7"/>
                <w:color w:val="auto"/>
              </w:rPr>
            </w:pPr>
          </w:p>
        </w:tc>
        <w:tc>
          <w:tcPr>
            <w:tcW w:w="1760" w:type="dxa"/>
            <w:vAlign w:val="bottom"/>
            <w:tcBorders>
              <w:bottom w:val="single" w:sz="8" w:color="2D53A6"/>
              <w:right w:val="single" w:sz="8" w:color="E6E6E6"/>
            </w:tcBorders>
            <w:shd w:val="clear" w:color="auto" w:fill="E6E6E6"/>
          </w:tcPr>
          <w:p>
            <w:pPr>
              <w:spacing w:after="0"/>
              <w:rPr>
                <w:sz w:val="7"/>
                <w:szCs w:val="7"/>
                <w:color w:val="auto"/>
              </w:rPr>
            </w:pPr>
          </w:p>
        </w:tc>
        <w:tc>
          <w:tcPr>
            <w:tcW w:w="2040" w:type="dxa"/>
            <w:vAlign w:val="bottom"/>
            <w:tcBorders>
              <w:bottom w:val="single" w:sz="8" w:color="2D53A6"/>
            </w:tcBorders>
            <w:shd w:val="clear" w:color="auto" w:fill="E6E6E6"/>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4698365</wp:posOffset>
            </wp:positionH>
            <wp:positionV relativeFrom="paragraph">
              <wp:posOffset>-1203960</wp:posOffset>
            </wp:positionV>
            <wp:extent cx="34290" cy="290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290830"/>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-1203960</wp:posOffset>
            </wp:positionV>
            <wp:extent cx="33655" cy="290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290830"/>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-1203960</wp:posOffset>
            </wp:positionV>
            <wp:extent cx="33655" cy="290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290830"/>
                    </a:xfrm>
                    <a:prstGeom prst="rect">
                      <a:avLst/>
                    </a:prstGeom>
                    <a:noFill/>
                  </pic:spPr>
                </pic:pic>
              </a:graphicData>
            </a:graphic>
          </wp:anchor>
        </w:drawing>
        <w:drawing>
          <wp:anchor simplePos="0" relativeHeight="251657728" behindDoc="1" locked="0" layoutInCell="0" allowOverlap="1">
            <wp:simplePos x="0" y="0"/>
            <wp:positionH relativeFrom="column">
              <wp:posOffset>4698365</wp:posOffset>
            </wp:positionH>
            <wp:positionV relativeFrom="paragraph">
              <wp:posOffset>-543560</wp:posOffset>
            </wp:positionV>
            <wp:extent cx="34290" cy="5568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556895"/>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-543560</wp:posOffset>
            </wp:positionV>
            <wp:extent cx="33655" cy="5568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55689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-543560</wp:posOffset>
            </wp:positionV>
            <wp:extent cx="33655" cy="5568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55689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Qualifying Termination in Connection with a Change of Control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For this purpose, a change in control of Cohu means the occurrence of any of the following, in one or a series of related transactions:</w:t>
      </w:r>
    </w:p>
    <w:p>
      <w:pPr>
        <w:spacing w:after="0" w:line="198" w:lineRule="exact"/>
        <w:rPr>
          <w:sz w:val="20"/>
          <w:szCs w:val="20"/>
          <w:color w:val="auto"/>
        </w:rPr>
      </w:pPr>
    </w:p>
    <w:p>
      <w:pPr>
        <w:ind w:left="340" w:right="280" w:hanging="332"/>
        <w:spacing w:after="0" w:line="245"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(“Person”) acquires ownership of Cohu’s securities that, together with the stock held by such Person, constitutes more than 50% of the total voting power of Cohu’s then outstanding stock;</w:t>
      </w:r>
    </w:p>
    <w:p>
      <w:pPr>
        <w:jc w:val="both"/>
        <w:ind w:left="340" w:right="260" w:hanging="332"/>
        <w:spacing w:after="0" w:line="23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change in the effective control of Cohu which occurs on the date that a majority of members of the Board is replaced during any 12-month period (six-month period in the case of our CEO) by members of the Board whose appointment or election is not endorsed by a majority of the members of the Board prior to the date of the appointment or election; or</w:t>
      </w:r>
    </w:p>
    <w:p>
      <w:pPr>
        <w:spacing w:after="0" w:line="2" w:lineRule="exact"/>
        <w:rPr>
          <w:rFonts w:ascii="Arial" w:cs="Arial" w:eastAsia="Arial" w:hAnsi="Arial"/>
          <w:sz w:val="18"/>
          <w:szCs w:val="18"/>
          <w:color w:val="auto"/>
        </w:rPr>
      </w:pPr>
    </w:p>
    <w:p>
      <w:pPr>
        <w:ind w:left="340" w:right="16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closing of any transaction involving a change in ownership of a substantial portion of Cohu’s assets which occurs on the date that any Person acquires (or has acquired during any 12 month period ending on the date of the most recent acquisition by such Person or Persons) assets from Cohu that have a total gross fair market value equal to or more than 50% of the total gross fair market value of all of the assets of Cohu immediately prior to such acquisition or acquisitions.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term “change in control” shall not include a consolidation, merger, or other reorganization if upon consummation of such transaction all of the outstanding voting stock of Cohu is owned, directly or indirectly, by a holding company, and the holders of Cohu’s common stock immediately prior to the transaction have substantially the same proportionate ownership and voting control of such holding company after such transaction.</w:t>
      </w:r>
    </w:p>
    <w:p>
      <w:pPr>
        <w:spacing w:after="0" w:line="160"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 transaction will not be deemed a change in control unless the transaction qualifies as a change in control event for the purposes of Section 409A of the Internal Revenue Code.</w:t>
      </w:r>
    </w:p>
    <w:p>
      <w:pPr>
        <w:spacing w:after="0" w:line="14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Additionally, the 2005 Plan provides that in the event of a change in control of Cohu, as defined in the 2005 Plan, should the acquiring corporation not assume or substitute for the outstanding equity awards of Cohu, the exercisability and vesting of all such equity awards will be accelerated, effective as of a date prior to the change in control.</w:t>
      </w:r>
    </w:p>
    <w:p>
      <w:pPr>
        <w:spacing w:after="0" w:line="15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the event of the occurrence of both a change in control and the subsequent termination of employment (as applicable), as of December 28, 2024, the amounts payable to our NEOs would have been as follows. In the event of the occurrence of a change in control on December 28, 2024, the amounts payable to our NEOs would have been as set forth in the following chart solely under the RSUs/PSUs column.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40" w:type="dxa"/>
            <w:vAlign w:val="bottom"/>
            <w:tcBorders>
              <w:top w:val="single" w:sz="8" w:color="0033A0"/>
              <w:right w:val="single" w:sz="8" w:color="0033A0"/>
            </w:tcBorders>
            <w:shd w:val="clear" w:color="auto" w:fill="2D53A6"/>
          </w:tcPr>
          <w:p>
            <w:pPr>
              <w:spacing w:after="0"/>
              <w:rPr>
                <w:sz w:val="17"/>
                <w:szCs w:val="17"/>
                <w:color w:val="auto"/>
              </w:rPr>
            </w:pPr>
          </w:p>
        </w:tc>
        <w:tc>
          <w:tcPr>
            <w:tcW w:w="1500" w:type="dxa"/>
            <w:vAlign w:val="bottom"/>
            <w:tcBorders>
              <w:top w:val="single" w:sz="8" w:color="0033A0"/>
              <w:right w:val="single" w:sz="8" w:color="0033A0"/>
            </w:tcBorders>
            <w:vMerge w:val="restart"/>
            <w:shd w:val="clear" w:color="auto" w:fill="2D53A6"/>
          </w:tcPr>
          <w:p>
            <w:pPr>
              <w:jc w:val="right"/>
              <w:ind w:right="521"/>
              <w:spacing w:after="0"/>
              <w:rPr>
                <w:sz w:val="20"/>
                <w:szCs w:val="20"/>
                <w:color w:val="auto"/>
              </w:rPr>
            </w:pPr>
            <w:r>
              <w:rPr>
                <w:rFonts w:ascii="Arial" w:cs="Arial" w:eastAsia="Arial" w:hAnsi="Arial"/>
                <w:sz w:val="20"/>
                <w:szCs w:val="20"/>
                <w:b w:val="1"/>
                <w:bCs w:val="1"/>
                <w:color w:val="FFFFFF"/>
              </w:rPr>
              <w:t>Total</w:t>
            </w:r>
          </w:p>
        </w:tc>
        <w:tc>
          <w:tcPr>
            <w:tcW w:w="1480" w:type="dxa"/>
            <w:vAlign w:val="bottom"/>
            <w:tcBorders>
              <w:top w:val="single" w:sz="8" w:color="0033A0"/>
              <w:right w:val="single" w:sz="8" w:color="0033A0"/>
            </w:tcBorders>
            <w:vMerge w:val="restart"/>
            <w:shd w:val="clear" w:color="auto" w:fill="2D53A6"/>
          </w:tcPr>
          <w:p>
            <w:pPr>
              <w:jc w:val="right"/>
              <w:ind w:right="241"/>
              <w:spacing w:after="0"/>
              <w:rPr>
                <w:sz w:val="20"/>
                <w:szCs w:val="20"/>
                <w:color w:val="auto"/>
              </w:rPr>
            </w:pPr>
            <w:r>
              <w:rPr>
                <w:rFonts w:ascii="Arial" w:cs="Arial" w:eastAsia="Arial" w:hAnsi="Arial"/>
                <w:sz w:val="20"/>
                <w:szCs w:val="20"/>
                <w:b w:val="1"/>
                <w:bCs w:val="1"/>
                <w:color w:val="FFFFFF"/>
              </w:rPr>
              <w:t>Severance</w:t>
            </w:r>
          </w:p>
        </w:tc>
        <w:tc>
          <w:tcPr>
            <w:tcW w:w="1500" w:type="dxa"/>
            <w:vAlign w:val="bottom"/>
            <w:tcBorders>
              <w:top w:val="single" w:sz="8" w:color="0033A0"/>
              <w:right w:val="single" w:sz="8" w:color="0033A0"/>
            </w:tcBorders>
            <w:shd w:val="clear" w:color="auto" w:fill="2D53A6"/>
          </w:tcPr>
          <w:p>
            <w:pPr>
              <w:jc w:val="center"/>
              <w:ind w:right="83"/>
              <w:spacing w:after="0" w:line="206" w:lineRule="exact"/>
              <w:rPr>
                <w:sz w:val="20"/>
                <w:szCs w:val="20"/>
                <w:color w:val="auto"/>
              </w:rPr>
            </w:pPr>
            <w:r>
              <w:rPr>
                <w:rFonts w:ascii="Arial" w:cs="Arial" w:eastAsia="Arial" w:hAnsi="Arial"/>
                <w:sz w:val="20"/>
                <w:szCs w:val="20"/>
                <w:b w:val="1"/>
                <w:bCs w:val="1"/>
                <w:color w:val="FFFFFF"/>
              </w:rPr>
              <w:t>Annual</w:t>
            </w:r>
          </w:p>
        </w:tc>
        <w:tc>
          <w:tcPr>
            <w:tcW w:w="1300" w:type="dxa"/>
            <w:vAlign w:val="bottom"/>
            <w:tcBorders>
              <w:top w:val="single" w:sz="8" w:color="0033A0"/>
              <w:right w:val="single" w:sz="8" w:color="0033A0"/>
            </w:tcBorders>
            <w:shd w:val="clear" w:color="auto" w:fill="2D53A6"/>
          </w:tcPr>
          <w:p>
            <w:pPr>
              <w:jc w:val="center"/>
              <w:spacing w:after="0" w:line="206" w:lineRule="exact"/>
              <w:rPr>
                <w:sz w:val="20"/>
                <w:szCs w:val="20"/>
                <w:color w:val="auto"/>
              </w:rPr>
            </w:pPr>
            <w:r>
              <w:rPr>
                <w:rFonts w:ascii="Arial" w:cs="Arial" w:eastAsia="Arial" w:hAnsi="Arial"/>
                <w:sz w:val="20"/>
                <w:szCs w:val="20"/>
                <w:b w:val="1"/>
                <w:bCs w:val="1"/>
                <w:color w:val="FFFFFF"/>
                <w:w w:val="98"/>
              </w:rPr>
              <w:t>Medical</w:t>
            </w:r>
          </w:p>
        </w:tc>
        <w:tc>
          <w:tcPr>
            <w:tcW w:w="1320" w:type="dxa"/>
            <w:vAlign w:val="bottom"/>
            <w:tcBorders>
              <w:top w:val="single" w:sz="8" w:color="0033A0"/>
            </w:tcBorders>
            <w:vMerge w:val="restart"/>
            <w:shd w:val="clear" w:color="auto" w:fill="2D53A6"/>
          </w:tcPr>
          <w:p>
            <w:pPr>
              <w:jc w:val="right"/>
              <w:ind w:right="21"/>
              <w:spacing w:after="0"/>
              <w:rPr>
                <w:sz w:val="20"/>
                <w:szCs w:val="20"/>
                <w:color w:val="auto"/>
              </w:rPr>
            </w:pPr>
            <w:r>
              <w:rPr>
                <w:rFonts w:ascii="Arial" w:cs="Arial" w:eastAsia="Arial" w:hAnsi="Arial"/>
                <w:sz w:val="20"/>
                <w:szCs w:val="20"/>
                <w:b w:val="1"/>
                <w:bCs w:val="1"/>
                <w:color w:val="FFFFFF"/>
              </w:rPr>
              <w:t>RSUs/PSUs</w:t>
            </w:r>
          </w:p>
        </w:tc>
        <w:tc>
          <w:tcPr>
            <w:tcW w:w="0" w:type="dxa"/>
            <w:vAlign w:val="bottom"/>
          </w:tcPr>
          <w:p>
            <w:pPr>
              <w:spacing w:after="0"/>
              <w:rPr>
                <w:sz w:val="1"/>
                <w:szCs w:val="1"/>
                <w:color w:val="auto"/>
              </w:rPr>
            </w:pPr>
          </w:p>
        </w:tc>
      </w:tr>
      <w:tr>
        <w:trPr>
          <w:trHeight w:val="108"/>
        </w:trPr>
        <w:tc>
          <w:tcPr>
            <w:tcW w:w="4140" w:type="dxa"/>
            <w:vAlign w:val="bottom"/>
            <w:tcBorders>
              <w:right w:val="single" w:sz="8" w:color="0033A0"/>
            </w:tcBorders>
            <w:vMerge w:val="restart"/>
            <w:shd w:val="clear" w:color="auto" w:fill="2D53A6"/>
          </w:tcPr>
          <w:p>
            <w:pPr>
              <w:spacing w:after="0" w:line="216" w:lineRule="exact"/>
              <w:rPr>
                <w:sz w:val="20"/>
                <w:szCs w:val="20"/>
                <w:color w:val="auto"/>
              </w:rPr>
            </w:pPr>
            <w:r>
              <w:rPr>
                <w:rFonts w:ascii="Arial" w:cs="Arial" w:eastAsia="Arial" w:hAnsi="Arial"/>
                <w:sz w:val="20"/>
                <w:szCs w:val="20"/>
                <w:b w:val="1"/>
                <w:bCs w:val="1"/>
                <w:color w:val="FFFFFF"/>
              </w:rPr>
              <w:t>Named Executive Officer</w:t>
            </w:r>
          </w:p>
        </w:tc>
        <w:tc>
          <w:tcPr>
            <w:tcW w:w="1500" w:type="dxa"/>
            <w:vAlign w:val="bottom"/>
            <w:tcBorders>
              <w:right w:val="single" w:sz="8" w:color="0033A0"/>
            </w:tcBorders>
            <w:vMerge w:val="continue"/>
            <w:shd w:val="clear" w:color="auto" w:fill="2D53A6"/>
          </w:tcPr>
          <w:p>
            <w:pPr>
              <w:spacing w:after="0"/>
              <w:rPr>
                <w:sz w:val="9"/>
                <w:szCs w:val="9"/>
                <w:color w:val="auto"/>
              </w:rPr>
            </w:pPr>
          </w:p>
        </w:tc>
        <w:tc>
          <w:tcPr>
            <w:tcW w:w="1480" w:type="dxa"/>
            <w:vAlign w:val="bottom"/>
            <w:tcBorders>
              <w:right w:val="single" w:sz="8" w:color="0033A0"/>
            </w:tcBorders>
            <w:vMerge w:val="continue"/>
            <w:shd w:val="clear" w:color="auto" w:fill="2D53A6"/>
          </w:tcPr>
          <w:p>
            <w:pPr>
              <w:spacing w:after="0"/>
              <w:rPr>
                <w:sz w:val="9"/>
                <w:szCs w:val="9"/>
                <w:color w:val="auto"/>
              </w:rPr>
            </w:pPr>
          </w:p>
        </w:tc>
        <w:tc>
          <w:tcPr>
            <w:tcW w:w="1500" w:type="dxa"/>
            <w:vAlign w:val="bottom"/>
            <w:tcBorders>
              <w:right w:val="single" w:sz="8" w:color="0033A0"/>
            </w:tcBorders>
            <w:vMerge w:val="restart"/>
            <w:shd w:val="clear" w:color="auto" w:fill="2D53A6"/>
          </w:tcPr>
          <w:p>
            <w:pPr>
              <w:jc w:val="center"/>
              <w:ind w:right="83"/>
              <w:spacing w:after="0" w:line="216" w:lineRule="exact"/>
              <w:rPr>
                <w:sz w:val="20"/>
                <w:szCs w:val="20"/>
                <w:color w:val="auto"/>
              </w:rPr>
            </w:pPr>
            <w:r>
              <w:rPr>
                <w:rFonts w:ascii="Arial" w:cs="Arial" w:eastAsia="Arial" w:hAnsi="Arial"/>
                <w:sz w:val="20"/>
                <w:szCs w:val="20"/>
                <w:b w:val="1"/>
                <w:bCs w:val="1"/>
                <w:color w:val="FFFFFF"/>
                <w:w w:val="99"/>
              </w:rPr>
              <w:t>Bonus ($)</w:t>
            </w:r>
          </w:p>
        </w:tc>
        <w:tc>
          <w:tcPr>
            <w:tcW w:w="1300" w:type="dxa"/>
            <w:vAlign w:val="bottom"/>
            <w:tcBorders>
              <w:right w:val="single" w:sz="8" w:color="0033A0"/>
            </w:tcBorders>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8"/>
              </w:rPr>
              <w:t>Benefits</w:t>
            </w:r>
          </w:p>
        </w:tc>
        <w:tc>
          <w:tcPr>
            <w:tcW w:w="132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140" w:type="dxa"/>
            <w:vAlign w:val="bottom"/>
            <w:tcBorders>
              <w:right w:val="single" w:sz="8" w:color="0033A0"/>
            </w:tcBorders>
            <w:vMerge w:val="continue"/>
            <w:shd w:val="clear" w:color="auto" w:fill="2D53A6"/>
          </w:tcPr>
          <w:p>
            <w:pPr>
              <w:spacing w:after="0"/>
              <w:rPr>
                <w:sz w:val="9"/>
                <w:szCs w:val="9"/>
                <w:color w:val="auto"/>
              </w:rPr>
            </w:pPr>
          </w:p>
        </w:tc>
        <w:tc>
          <w:tcPr>
            <w:tcW w:w="1500" w:type="dxa"/>
            <w:vAlign w:val="bottom"/>
            <w:tcBorders>
              <w:right w:val="single" w:sz="8" w:color="0033A0"/>
            </w:tcBorders>
            <w:vMerge w:val="restart"/>
            <w:shd w:val="clear" w:color="auto" w:fill="2D53A6"/>
          </w:tcPr>
          <w:p>
            <w:pPr>
              <w:jc w:val="right"/>
              <w:ind w:right="641"/>
              <w:spacing w:after="0"/>
              <w:rPr>
                <w:sz w:val="20"/>
                <w:szCs w:val="20"/>
                <w:color w:val="auto"/>
              </w:rPr>
            </w:pPr>
            <w:r>
              <w:rPr>
                <w:rFonts w:ascii="Arial" w:cs="Arial" w:eastAsia="Arial" w:hAnsi="Arial"/>
                <w:sz w:val="20"/>
                <w:szCs w:val="20"/>
                <w:b w:val="1"/>
                <w:bCs w:val="1"/>
                <w:color w:val="FFFFFF"/>
              </w:rPr>
              <w:t>($)</w:t>
            </w:r>
          </w:p>
        </w:tc>
        <w:tc>
          <w:tcPr>
            <w:tcW w:w="1480" w:type="dxa"/>
            <w:vAlign w:val="bottom"/>
            <w:tcBorders>
              <w:right w:val="single" w:sz="8" w:color="0033A0"/>
            </w:tcBorders>
            <w:vMerge w:val="restart"/>
            <w:shd w:val="clear" w:color="auto" w:fill="2D53A6"/>
          </w:tcPr>
          <w:p>
            <w:pPr>
              <w:jc w:val="right"/>
              <w:ind w:right="481"/>
              <w:spacing w:after="0"/>
              <w:rPr>
                <w:sz w:val="20"/>
                <w:szCs w:val="20"/>
                <w:color w:val="auto"/>
              </w:rPr>
            </w:pPr>
            <w:r>
              <w:rPr>
                <w:rFonts w:ascii="Arial" w:cs="Arial" w:eastAsia="Arial" w:hAnsi="Arial"/>
                <w:sz w:val="20"/>
                <w:szCs w:val="20"/>
                <w:b w:val="1"/>
                <w:bCs w:val="1"/>
                <w:color w:val="FFFFFF"/>
              </w:rPr>
              <w:t xml:space="preserve">($) </w:t>
            </w:r>
            <w:r>
              <w:rPr>
                <w:rFonts w:ascii="Arial" w:cs="Arial" w:eastAsia="Arial" w:hAnsi="Arial"/>
                <w:sz w:val="16"/>
                <w:szCs w:val="16"/>
                <w:b w:val="1"/>
                <w:bCs w:val="1"/>
                <w:color w:val="FFFFFF"/>
              </w:rPr>
              <w:t>(1)</w:t>
            </w:r>
          </w:p>
        </w:tc>
        <w:tc>
          <w:tcPr>
            <w:tcW w:w="1500" w:type="dxa"/>
            <w:vAlign w:val="bottom"/>
            <w:tcBorders>
              <w:right w:val="single" w:sz="8" w:color="0033A0"/>
            </w:tcBorders>
            <w:vMerge w:val="continue"/>
            <w:shd w:val="clear" w:color="auto" w:fill="2D53A6"/>
          </w:tcPr>
          <w:p>
            <w:pPr>
              <w:spacing w:after="0"/>
              <w:rPr>
                <w:sz w:val="9"/>
                <w:szCs w:val="9"/>
                <w:color w:val="auto"/>
              </w:rPr>
            </w:pPr>
          </w:p>
        </w:tc>
        <w:tc>
          <w:tcPr>
            <w:tcW w:w="1300" w:type="dxa"/>
            <w:vAlign w:val="bottom"/>
            <w:tcBorders>
              <w:right w:val="single" w:sz="8" w:color="0033A0"/>
            </w:tcBorders>
            <w:vMerge w:val="continue"/>
            <w:shd w:val="clear" w:color="auto" w:fill="2D53A6"/>
          </w:tcPr>
          <w:p>
            <w:pPr>
              <w:spacing w:after="0"/>
              <w:rPr>
                <w:sz w:val="9"/>
                <w:szCs w:val="9"/>
                <w:color w:val="auto"/>
              </w:rPr>
            </w:pPr>
          </w:p>
        </w:tc>
        <w:tc>
          <w:tcPr>
            <w:tcW w:w="1320" w:type="dxa"/>
            <w:vAlign w:val="bottom"/>
            <w:vMerge w:val="restart"/>
            <w:shd w:val="clear" w:color="auto" w:fill="2D53A6"/>
          </w:tcPr>
          <w:p>
            <w:pPr>
              <w:jc w:val="right"/>
              <w:ind w:right="321"/>
              <w:spacing w:after="0"/>
              <w:rPr>
                <w:sz w:val="20"/>
                <w:szCs w:val="20"/>
                <w:color w:val="auto"/>
              </w:rPr>
            </w:pPr>
            <w:r>
              <w:rPr>
                <w:rFonts w:ascii="Arial" w:cs="Arial" w:eastAsia="Arial" w:hAnsi="Arial"/>
                <w:sz w:val="20"/>
                <w:szCs w:val="20"/>
                <w:b w:val="1"/>
                <w:bCs w:val="1"/>
                <w:color w:val="FFFFFF"/>
              </w:rPr>
              <w:t xml:space="preserve">($) </w:t>
            </w:r>
            <w:r>
              <w:rPr>
                <w:rFonts w:ascii="Arial" w:cs="Arial" w:eastAsia="Arial" w:hAnsi="Arial"/>
                <w:sz w:val="16"/>
                <w:szCs w:val="16"/>
                <w:b w:val="1"/>
                <w:bCs w:val="1"/>
                <w:color w:val="FFFFFF"/>
              </w:rPr>
              <w:t>(3)</w:t>
            </w:r>
          </w:p>
        </w:tc>
        <w:tc>
          <w:tcPr>
            <w:tcW w:w="0" w:type="dxa"/>
            <w:vAlign w:val="bottom"/>
          </w:tcPr>
          <w:p>
            <w:pPr>
              <w:spacing w:after="0"/>
              <w:rPr>
                <w:sz w:val="1"/>
                <w:szCs w:val="1"/>
                <w:color w:val="auto"/>
              </w:rPr>
            </w:pPr>
          </w:p>
        </w:tc>
      </w:tr>
      <w:tr>
        <w:trPr>
          <w:trHeight w:val="165"/>
        </w:trPr>
        <w:tc>
          <w:tcPr>
            <w:tcW w:w="4140" w:type="dxa"/>
            <w:vAlign w:val="bottom"/>
            <w:tcBorders>
              <w:right w:val="single" w:sz="8" w:color="0033A0"/>
            </w:tcBorders>
            <w:shd w:val="clear" w:color="auto" w:fill="2D53A6"/>
          </w:tcPr>
          <w:p>
            <w:pPr>
              <w:spacing w:after="0"/>
              <w:rPr>
                <w:sz w:val="14"/>
                <w:szCs w:val="14"/>
                <w:color w:val="auto"/>
              </w:rPr>
            </w:pPr>
          </w:p>
        </w:tc>
        <w:tc>
          <w:tcPr>
            <w:tcW w:w="1500" w:type="dxa"/>
            <w:vAlign w:val="bottom"/>
            <w:tcBorders>
              <w:right w:val="single" w:sz="8" w:color="0033A0"/>
            </w:tcBorders>
            <w:vMerge w:val="continue"/>
            <w:shd w:val="clear" w:color="auto" w:fill="2D53A6"/>
          </w:tcPr>
          <w:p>
            <w:pPr>
              <w:spacing w:after="0"/>
              <w:rPr>
                <w:sz w:val="14"/>
                <w:szCs w:val="14"/>
                <w:color w:val="auto"/>
              </w:rPr>
            </w:pPr>
          </w:p>
        </w:tc>
        <w:tc>
          <w:tcPr>
            <w:tcW w:w="1480" w:type="dxa"/>
            <w:vAlign w:val="bottom"/>
            <w:tcBorders>
              <w:right w:val="single" w:sz="8" w:color="0033A0"/>
            </w:tcBorders>
            <w:vMerge w:val="continue"/>
            <w:shd w:val="clear" w:color="auto" w:fill="2D53A6"/>
          </w:tcPr>
          <w:p>
            <w:pPr>
              <w:spacing w:after="0"/>
              <w:rPr>
                <w:sz w:val="14"/>
                <w:szCs w:val="14"/>
                <w:color w:val="auto"/>
              </w:rPr>
            </w:pPr>
          </w:p>
        </w:tc>
        <w:tc>
          <w:tcPr>
            <w:tcW w:w="1500" w:type="dxa"/>
            <w:vAlign w:val="bottom"/>
            <w:tcBorders>
              <w:right w:val="single" w:sz="8" w:color="0033A0"/>
            </w:tcBorders>
            <w:vMerge w:val="restart"/>
            <w:shd w:val="clear" w:color="auto" w:fill="2D53A6"/>
          </w:tcPr>
          <w:p>
            <w:pPr>
              <w:jc w:val="center"/>
              <w:ind w:right="83"/>
              <w:spacing w:after="0"/>
              <w:rPr>
                <w:sz w:val="20"/>
                <w:szCs w:val="20"/>
                <w:color w:val="auto"/>
              </w:rPr>
            </w:pPr>
            <w:r>
              <w:rPr>
                <w:rFonts w:ascii="Arial" w:cs="Arial" w:eastAsia="Arial" w:hAnsi="Arial"/>
                <w:sz w:val="16"/>
                <w:szCs w:val="16"/>
                <w:b w:val="1"/>
                <w:bCs w:val="1"/>
                <w:color w:val="FFFFFF"/>
              </w:rPr>
              <w:t>(1)</w:t>
            </w:r>
          </w:p>
        </w:tc>
        <w:tc>
          <w:tcPr>
            <w:tcW w:w="1300" w:type="dxa"/>
            <w:vAlign w:val="bottom"/>
            <w:tcBorders>
              <w:right w:val="single" w:sz="8" w:color="0033A0"/>
            </w:tcBorders>
            <w:vMerge w:val="restart"/>
            <w:shd w:val="clear" w:color="auto" w:fill="2D53A6"/>
          </w:tcPr>
          <w:p>
            <w:pPr>
              <w:jc w:val="center"/>
              <w:spacing w:after="0"/>
              <w:rPr>
                <w:sz w:val="20"/>
                <w:szCs w:val="20"/>
                <w:color w:val="auto"/>
              </w:rPr>
            </w:pPr>
            <w:r>
              <w:rPr>
                <w:rFonts w:ascii="Arial" w:cs="Arial" w:eastAsia="Arial" w:hAnsi="Arial"/>
                <w:sz w:val="20"/>
                <w:szCs w:val="20"/>
                <w:b w:val="1"/>
                <w:bCs w:val="1"/>
                <w:color w:val="FFFFFF"/>
              </w:rPr>
              <w:t xml:space="preserve">($) </w:t>
            </w:r>
            <w:r>
              <w:rPr>
                <w:rFonts w:ascii="Arial" w:cs="Arial" w:eastAsia="Arial" w:hAnsi="Arial"/>
                <w:sz w:val="16"/>
                <w:szCs w:val="16"/>
                <w:b w:val="1"/>
                <w:bCs w:val="1"/>
                <w:color w:val="FFFFFF"/>
              </w:rPr>
              <w:t>(2)</w:t>
            </w:r>
          </w:p>
        </w:tc>
        <w:tc>
          <w:tcPr>
            <w:tcW w:w="1320" w:type="dxa"/>
            <w:vAlign w:val="bottom"/>
            <w:vMerge w:val="continue"/>
            <w:shd w:val="clear" w:color="auto" w:fill="2D53A6"/>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4140" w:type="dxa"/>
            <w:vAlign w:val="bottom"/>
            <w:tcBorders>
              <w:bottom w:val="single" w:sz="8" w:color="0033A0"/>
              <w:right w:val="single" w:sz="8" w:color="0033A0"/>
            </w:tcBorders>
            <w:shd w:val="clear" w:color="auto" w:fill="2D53A6"/>
          </w:tcPr>
          <w:p>
            <w:pPr>
              <w:spacing w:after="0"/>
              <w:rPr>
                <w:sz w:val="6"/>
                <w:szCs w:val="6"/>
                <w:color w:val="auto"/>
              </w:rPr>
            </w:pPr>
          </w:p>
        </w:tc>
        <w:tc>
          <w:tcPr>
            <w:tcW w:w="1500" w:type="dxa"/>
            <w:vAlign w:val="bottom"/>
            <w:tcBorders>
              <w:bottom w:val="single" w:sz="8" w:color="0033A0"/>
              <w:right w:val="single" w:sz="8" w:color="0033A0"/>
            </w:tcBorders>
            <w:shd w:val="clear" w:color="auto" w:fill="2D53A6"/>
          </w:tcPr>
          <w:p>
            <w:pPr>
              <w:spacing w:after="0"/>
              <w:rPr>
                <w:sz w:val="6"/>
                <w:szCs w:val="6"/>
                <w:color w:val="auto"/>
              </w:rPr>
            </w:pPr>
          </w:p>
        </w:tc>
        <w:tc>
          <w:tcPr>
            <w:tcW w:w="1480" w:type="dxa"/>
            <w:vAlign w:val="bottom"/>
            <w:tcBorders>
              <w:bottom w:val="single" w:sz="8" w:color="0033A0"/>
              <w:right w:val="single" w:sz="8" w:color="0033A0"/>
            </w:tcBorders>
            <w:shd w:val="clear" w:color="auto" w:fill="2D53A6"/>
          </w:tcPr>
          <w:p>
            <w:pPr>
              <w:spacing w:after="0"/>
              <w:rPr>
                <w:sz w:val="6"/>
                <w:szCs w:val="6"/>
                <w:color w:val="auto"/>
              </w:rPr>
            </w:pPr>
          </w:p>
        </w:tc>
        <w:tc>
          <w:tcPr>
            <w:tcW w:w="1500" w:type="dxa"/>
            <w:vAlign w:val="bottom"/>
            <w:tcBorders>
              <w:bottom w:val="single" w:sz="8" w:color="0033A0"/>
              <w:right w:val="single" w:sz="8" w:color="0033A0"/>
            </w:tcBorders>
            <w:vMerge w:val="continue"/>
            <w:shd w:val="clear" w:color="auto" w:fill="2D53A6"/>
          </w:tcPr>
          <w:p>
            <w:pPr>
              <w:spacing w:after="0"/>
              <w:rPr>
                <w:sz w:val="6"/>
                <w:szCs w:val="6"/>
                <w:color w:val="auto"/>
              </w:rPr>
            </w:pPr>
          </w:p>
        </w:tc>
        <w:tc>
          <w:tcPr>
            <w:tcW w:w="1300" w:type="dxa"/>
            <w:vAlign w:val="bottom"/>
            <w:tcBorders>
              <w:bottom w:val="single" w:sz="8" w:color="0033A0"/>
              <w:right w:val="single" w:sz="8" w:color="0033A0"/>
            </w:tcBorders>
            <w:vMerge w:val="continue"/>
            <w:shd w:val="clear" w:color="auto" w:fill="2D53A6"/>
          </w:tcPr>
          <w:p>
            <w:pPr>
              <w:spacing w:after="0"/>
              <w:rPr>
                <w:sz w:val="6"/>
                <w:szCs w:val="6"/>
                <w:color w:val="auto"/>
              </w:rPr>
            </w:pPr>
          </w:p>
        </w:tc>
        <w:tc>
          <w:tcPr>
            <w:tcW w:w="1320" w:type="dxa"/>
            <w:vAlign w:val="bottom"/>
            <w:tcBorders>
              <w:bottom w:val="single" w:sz="8" w:color="0033A0"/>
            </w:tcBorders>
            <w:shd w:val="clear" w:color="auto" w:fill="2D53A6"/>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140" w:type="dxa"/>
            <w:vAlign w:val="bottom"/>
            <w:tcBorders>
              <w:bottom w:val="single" w:sz="8" w:color="0033A0"/>
              <w:right w:val="single" w:sz="8" w:color="0033A0"/>
            </w:tcBorders>
          </w:tcPr>
          <w:p>
            <w:pPr>
              <w:spacing w:after="0" w:line="209" w:lineRule="exact"/>
              <w:rPr>
                <w:sz w:val="20"/>
                <w:szCs w:val="20"/>
                <w:color w:val="auto"/>
              </w:rPr>
            </w:pPr>
            <w:r>
              <w:rPr>
                <w:rFonts w:ascii="Arial" w:cs="Arial" w:eastAsia="Arial" w:hAnsi="Arial"/>
                <w:sz w:val="20"/>
                <w:szCs w:val="20"/>
                <w:color w:val="auto"/>
              </w:rPr>
              <w:t>Luis A. Müller</w:t>
            </w:r>
          </w:p>
        </w:tc>
        <w:tc>
          <w:tcPr>
            <w:tcW w:w="1500" w:type="dxa"/>
            <w:vAlign w:val="bottom"/>
            <w:tcBorders>
              <w:bottom w:val="single" w:sz="8" w:color="0033A0"/>
              <w:right w:val="single" w:sz="8" w:color="0033A0"/>
            </w:tcBorders>
          </w:tcPr>
          <w:p>
            <w:pPr>
              <w:jc w:val="right"/>
              <w:ind w:right="201"/>
              <w:spacing w:after="0" w:line="209" w:lineRule="exact"/>
              <w:rPr>
                <w:sz w:val="20"/>
                <w:szCs w:val="20"/>
                <w:color w:val="auto"/>
              </w:rPr>
            </w:pPr>
            <w:r>
              <w:rPr>
                <w:rFonts w:ascii="Arial" w:cs="Arial" w:eastAsia="Arial" w:hAnsi="Arial"/>
                <w:sz w:val="20"/>
                <w:szCs w:val="20"/>
                <w:color w:val="auto"/>
              </w:rPr>
              <w:t>12,256,488</w:t>
            </w:r>
          </w:p>
        </w:tc>
        <w:tc>
          <w:tcPr>
            <w:tcW w:w="1480" w:type="dxa"/>
            <w:vAlign w:val="bottom"/>
            <w:tcBorders>
              <w:bottom w:val="single" w:sz="8" w:color="0033A0"/>
              <w:right w:val="single" w:sz="8" w:color="0033A0"/>
            </w:tcBorders>
          </w:tcPr>
          <w:p>
            <w:pPr>
              <w:jc w:val="right"/>
              <w:ind w:right="181"/>
              <w:spacing w:after="0" w:line="209" w:lineRule="exact"/>
              <w:rPr>
                <w:sz w:val="20"/>
                <w:szCs w:val="20"/>
                <w:color w:val="auto"/>
              </w:rPr>
            </w:pPr>
            <w:r>
              <w:rPr>
                <w:rFonts w:ascii="Arial" w:cs="Arial" w:eastAsia="Arial" w:hAnsi="Arial"/>
                <w:sz w:val="20"/>
                <w:szCs w:val="20"/>
                <w:color w:val="auto"/>
              </w:rPr>
              <w:t>3,003,000</w:t>
            </w:r>
          </w:p>
        </w:tc>
        <w:tc>
          <w:tcPr>
            <w:tcW w:w="1500" w:type="dxa"/>
            <w:vAlign w:val="bottom"/>
            <w:tcBorders>
              <w:bottom w:val="single" w:sz="8" w:color="0033A0"/>
              <w:right w:val="single" w:sz="8" w:color="0033A0"/>
            </w:tcBorders>
          </w:tcPr>
          <w:p>
            <w:pPr>
              <w:ind w:left="480"/>
              <w:spacing w:after="0" w:line="209" w:lineRule="exact"/>
              <w:rPr>
                <w:sz w:val="20"/>
                <w:szCs w:val="20"/>
                <w:color w:val="auto"/>
              </w:rPr>
            </w:pPr>
            <w:r>
              <w:rPr>
                <w:rFonts w:ascii="Arial" w:cs="Arial" w:eastAsia="Arial" w:hAnsi="Arial"/>
                <w:sz w:val="20"/>
                <w:szCs w:val="20"/>
                <w:color w:val="auto"/>
              </w:rPr>
              <w:t>786,500</w:t>
            </w:r>
          </w:p>
        </w:tc>
        <w:tc>
          <w:tcPr>
            <w:tcW w:w="1300" w:type="dxa"/>
            <w:vAlign w:val="bottom"/>
            <w:tcBorders>
              <w:bottom w:val="single" w:sz="8" w:color="0033A0"/>
              <w:right w:val="single" w:sz="8" w:color="0033A0"/>
            </w:tcBorders>
          </w:tcPr>
          <w:p>
            <w:pPr>
              <w:jc w:val="right"/>
              <w:ind w:right="21"/>
              <w:spacing w:after="0" w:line="209" w:lineRule="exact"/>
              <w:rPr>
                <w:sz w:val="20"/>
                <w:szCs w:val="20"/>
                <w:color w:val="auto"/>
              </w:rPr>
            </w:pPr>
            <w:r>
              <w:rPr>
                <w:rFonts w:ascii="Arial" w:cs="Arial" w:eastAsia="Arial" w:hAnsi="Arial"/>
                <w:sz w:val="20"/>
                <w:szCs w:val="20"/>
                <w:color w:val="auto"/>
              </w:rPr>
              <w:t>95,116</w:t>
            </w:r>
          </w:p>
        </w:tc>
        <w:tc>
          <w:tcPr>
            <w:tcW w:w="1320" w:type="dxa"/>
            <w:vAlign w:val="bottom"/>
            <w:tcBorders>
              <w:bottom w:val="single" w:sz="8" w:color="0033A0"/>
            </w:tcBorders>
          </w:tcPr>
          <w:p>
            <w:pPr>
              <w:jc w:val="right"/>
              <w:ind w:right="1"/>
              <w:spacing w:after="0" w:line="209" w:lineRule="exact"/>
              <w:rPr>
                <w:sz w:val="20"/>
                <w:szCs w:val="20"/>
                <w:color w:val="auto"/>
              </w:rPr>
            </w:pPr>
            <w:r>
              <w:rPr>
                <w:rFonts w:ascii="Arial" w:cs="Arial" w:eastAsia="Arial" w:hAnsi="Arial"/>
                <w:sz w:val="20"/>
                <w:szCs w:val="20"/>
                <w:color w:val="auto"/>
              </w:rPr>
              <w:t>8,371,872</w:t>
            </w:r>
          </w:p>
        </w:tc>
        <w:tc>
          <w:tcPr>
            <w:tcW w:w="0" w:type="dxa"/>
            <w:vAlign w:val="bottom"/>
          </w:tcPr>
          <w:p>
            <w:pPr>
              <w:spacing w:after="0"/>
              <w:rPr>
                <w:sz w:val="1"/>
                <w:szCs w:val="1"/>
                <w:color w:val="auto"/>
              </w:rPr>
            </w:pPr>
          </w:p>
        </w:tc>
      </w:tr>
      <w:tr>
        <w:trPr>
          <w:trHeight w:val="209"/>
        </w:trPr>
        <w:tc>
          <w:tcPr>
            <w:tcW w:w="4140" w:type="dxa"/>
            <w:vAlign w:val="bottom"/>
            <w:tcBorders>
              <w:bottom w:val="single" w:sz="8" w:color="0033A0"/>
              <w:right w:val="single" w:sz="8" w:color="0033A0"/>
            </w:tcBorders>
            <w:shd w:val="clear" w:color="auto" w:fill="E6E6E6"/>
          </w:tcPr>
          <w:p>
            <w:pPr>
              <w:spacing w:after="0" w:line="209" w:lineRule="exact"/>
              <w:rPr>
                <w:sz w:val="20"/>
                <w:szCs w:val="20"/>
                <w:color w:val="auto"/>
              </w:rPr>
            </w:pPr>
            <w:r>
              <w:rPr>
                <w:rFonts w:ascii="Arial" w:cs="Arial" w:eastAsia="Arial" w:hAnsi="Arial"/>
                <w:sz w:val="20"/>
                <w:szCs w:val="20"/>
                <w:color w:val="auto"/>
              </w:rPr>
              <w:t>Jeffrey D. Jones</w:t>
            </w:r>
          </w:p>
        </w:tc>
        <w:tc>
          <w:tcPr>
            <w:tcW w:w="1500" w:type="dxa"/>
            <w:vAlign w:val="bottom"/>
            <w:tcBorders>
              <w:bottom w:val="single" w:sz="8" w:color="0033A0"/>
              <w:right w:val="single" w:sz="8" w:color="0033A0"/>
            </w:tcBorders>
            <w:shd w:val="clear" w:color="auto" w:fill="E6E6E6"/>
          </w:tcPr>
          <w:p>
            <w:pPr>
              <w:jc w:val="right"/>
              <w:ind w:right="201"/>
              <w:spacing w:after="0" w:line="209" w:lineRule="exact"/>
              <w:rPr>
                <w:sz w:val="20"/>
                <w:szCs w:val="20"/>
                <w:color w:val="auto"/>
              </w:rPr>
            </w:pPr>
            <w:r>
              <w:rPr>
                <w:rFonts w:ascii="Arial" w:cs="Arial" w:eastAsia="Arial" w:hAnsi="Arial"/>
                <w:sz w:val="20"/>
                <w:szCs w:val="20"/>
                <w:color w:val="auto"/>
              </w:rPr>
              <w:t>4,354,515</w:t>
            </w:r>
          </w:p>
        </w:tc>
        <w:tc>
          <w:tcPr>
            <w:tcW w:w="1480" w:type="dxa"/>
            <w:vAlign w:val="bottom"/>
            <w:tcBorders>
              <w:bottom w:val="single" w:sz="8" w:color="0033A0"/>
              <w:right w:val="single" w:sz="8" w:color="0033A0"/>
            </w:tcBorders>
            <w:shd w:val="clear" w:color="auto" w:fill="E6E6E6"/>
          </w:tcPr>
          <w:p>
            <w:pPr>
              <w:jc w:val="right"/>
              <w:ind w:right="181"/>
              <w:spacing w:after="0" w:line="209" w:lineRule="exact"/>
              <w:rPr>
                <w:sz w:val="20"/>
                <w:szCs w:val="20"/>
                <w:color w:val="auto"/>
              </w:rPr>
            </w:pPr>
            <w:r>
              <w:rPr>
                <w:rFonts w:ascii="Arial" w:cs="Arial" w:eastAsia="Arial" w:hAnsi="Arial"/>
                <w:sz w:val="20"/>
                <w:szCs w:val="20"/>
                <w:color w:val="auto"/>
              </w:rPr>
              <w:t>1,194,375</w:t>
            </w:r>
          </w:p>
        </w:tc>
        <w:tc>
          <w:tcPr>
            <w:tcW w:w="1500" w:type="dxa"/>
            <w:vAlign w:val="bottom"/>
            <w:tcBorders>
              <w:bottom w:val="single" w:sz="8" w:color="0033A0"/>
              <w:right w:val="single" w:sz="8" w:color="0033A0"/>
            </w:tcBorders>
            <w:shd w:val="clear" w:color="auto" w:fill="E6E6E6"/>
          </w:tcPr>
          <w:p>
            <w:pPr>
              <w:ind w:left="480"/>
              <w:spacing w:after="0" w:line="209" w:lineRule="exact"/>
              <w:rPr>
                <w:sz w:val="20"/>
                <w:szCs w:val="20"/>
                <w:color w:val="auto"/>
              </w:rPr>
            </w:pPr>
            <w:r>
              <w:rPr>
                <w:rFonts w:ascii="Arial" w:cs="Arial" w:eastAsia="Arial" w:hAnsi="Arial"/>
                <w:sz w:val="20"/>
                <w:szCs w:val="20"/>
                <w:color w:val="auto"/>
              </w:rPr>
              <w:t>341,250</w:t>
            </w:r>
          </w:p>
        </w:tc>
        <w:tc>
          <w:tcPr>
            <w:tcW w:w="1300" w:type="dxa"/>
            <w:vAlign w:val="bottom"/>
            <w:tcBorders>
              <w:bottom w:val="single" w:sz="8" w:color="0033A0"/>
              <w:right w:val="single" w:sz="8" w:color="0033A0"/>
            </w:tcBorders>
            <w:shd w:val="clear" w:color="auto" w:fill="E6E6E6"/>
          </w:tcPr>
          <w:p>
            <w:pPr>
              <w:jc w:val="right"/>
              <w:ind w:right="21"/>
              <w:spacing w:after="0" w:line="209" w:lineRule="exact"/>
              <w:rPr>
                <w:sz w:val="20"/>
                <w:szCs w:val="20"/>
                <w:color w:val="auto"/>
              </w:rPr>
            </w:pPr>
            <w:r>
              <w:rPr>
                <w:rFonts w:ascii="Arial" w:cs="Arial" w:eastAsia="Arial" w:hAnsi="Arial"/>
                <w:sz w:val="20"/>
                <w:szCs w:val="20"/>
                <w:color w:val="auto"/>
              </w:rPr>
              <w:t>71,337</w:t>
            </w:r>
          </w:p>
        </w:tc>
        <w:tc>
          <w:tcPr>
            <w:tcW w:w="1320" w:type="dxa"/>
            <w:vAlign w:val="bottom"/>
            <w:tcBorders>
              <w:bottom w:val="single" w:sz="8" w:color="0033A0"/>
            </w:tcBorders>
            <w:shd w:val="clear" w:color="auto" w:fill="E6E6E6"/>
          </w:tcPr>
          <w:p>
            <w:pPr>
              <w:jc w:val="right"/>
              <w:ind w:right="1"/>
              <w:spacing w:after="0" w:line="209" w:lineRule="exact"/>
              <w:rPr>
                <w:sz w:val="20"/>
                <w:szCs w:val="20"/>
                <w:color w:val="auto"/>
              </w:rPr>
            </w:pPr>
            <w:r>
              <w:rPr>
                <w:rFonts w:ascii="Arial" w:cs="Arial" w:eastAsia="Arial" w:hAnsi="Arial"/>
                <w:sz w:val="20"/>
                <w:szCs w:val="20"/>
                <w:color w:val="auto"/>
              </w:rPr>
              <w:t>2,747,553</w:t>
            </w:r>
          </w:p>
        </w:tc>
        <w:tc>
          <w:tcPr>
            <w:tcW w:w="0" w:type="dxa"/>
            <w:vAlign w:val="bottom"/>
          </w:tcPr>
          <w:p>
            <w:pPr>
              <w:spacing w:after="0"/>
              <w:rPr>
                <w:sz w:val="1"/>
                <w:szCs w:val="1"/>
                <w:color w:val="auto"/>
              </w:rPr>
            </w:pPr>
          </w:p>
        </w:tc>
      </w:tr>
      <w:tr>
        <w:trPr>
          <w:trHeight w:val="209"/>
        </w:trPr>
        <w:tc>
          <w:tcPr>
            <w:tcW w:w="4140" w:type="dxa"/>
            <w:vAlign w:val="bottom"/>
            <w:tcBorders>
              <w:bottom w:val="single" w:sz="8" w:color="0033A0"/>
              <w:right w:val="single" w:sz="8" w:color="0033A0"/>
            </w:tcBorders>
          </w:tcPr>
          <w:p>
            <w:pPr>
              <w:spacing w:after="0" w:line="209" w:lineRule="exact"/>
              <w:rPr>
                <w:sz w:val="20"/>
                <w:szCs w:val="20"/>
                <w:color w:val="auto"/>
              </w:rPr>
            </w:pPr>
            <w:r>
              <w:rPr>
                <w:rFonts w:ascii="Arial" w:cs="Arial" w:eastAsia="Arial" w:hAnsi="Arial"/>
                <w:sz w:val="20"/>
                <w:szCs w:val="20"/>
                <w:color w:val="auto"/>
              </w:rPr>
              <w:t>Christopher G. Bohrson</w:t>
            </w:r>
          </w:p>
        </w:tc>
        <w:tc>
          <w:tcPr>
            <w:tcW w:w="1500" w:type="dxa"/>
            <w:vAlign w:val="bottom"/>
            <w:tcBorders>
              <w:bottom w:val="single" w:sz="8" w:color="0033A0"/>
              <w:right w:val="single" w:sz="8" w:color="0033A0"/>
            </w:tcBorders>
          </w:tcPr>
          <w:p>
            <w:pPr>
              <w:jc w:val="right"/>
              <w:ind w:right="201"/>
              <w:spacing w:after="0" w:line="209" w:lineRule="exact"/>
              <w:rPr>
                <w:sz w:val="20"/>
                <w:szCs w:val="20"/>
                <w:color w:val="auto"/>
              </w:rPr>
            </w:pPr>
            <w:r>
              <w:rPr>
                <w:rFonts w:ascii="Arial" w:cs="Arial" w:eastAsia="Arial" w:hAnsi="Arial"/>
                <w:sz w:val="20"/>
                <w:szCs w:val="20"/>
                <w:color w:val="auto"/>
              </w:rPr>
              <w:t>3,489,310</w:t>
            </w:r>
          </w:p>
        </w:tc>
        <w:tc>
          <w:tcPr>
            <w:tcW w:w="1480" w:type="dxa"/>
            <w:vAlign w:val="bottom"/>
            <w:tcBorders>
              <w:bottom w:val="single" w:sz="8" w:color="0033A0"/>
              <w:right w:val="single" w:sz="8" w:color="0033A0"/>
            </w:tcBorders>
          </w:tcPr>
          <w:p>
            <w:pPr>
              <w:jc w:val="right"/>
              <w:ind w:right="181"/>
              <w:spacing w:after="0" w:line="209" w:lineRule="exact"/>
              <w:rPr>
                <w:sz w:val="20"/>
                <w:szCs w:val="20"/>
                <w:color w:val="auto"/>
              </w:rPr>
            </w:pPr>
            <w:r>
              <w:rPr>
                <w:rFonts w:ascii="Arial" w:cs="Arial" w:eastAsia="Arial" w:hAnsi="Arial"/>
                <w:sz w:val="20"/>
                <w:szCs w:val="20"/>
                <w:color w:val="auto"/>
              </w:rPr>
              <w:t>1,115,625</w:t>
            </w:r>
          </w:p>
        </w:tc>
        <w:tc>
          <w:tcPr>
            <w:tcW w:w="1500" w:type="dxa"/>
            <w:vAlign w:val="bottom"/>
            <w:tcBorders>
              <w:bottom w:val="single" w:sz="8" w:color="0033A0"/>
              <w:right w:val="single" w:sz="8" w:color="0033A0"/>
            </w:tcBorders>
          </w:tcPr>
          <w:p>
            <w:pPr>
              <w:ind w:left="480"/>
              <w:spacing w:after="0" w:line="209" w:lineRule="exact"/>
              <w:rPr>
                <w:sz w:val="20"/>
                <w:szCs w:val="20"/>
                <w:color w:val="auto"/>
              </w:rPr>
            </w:pPr>
            <w:r>
              <w:rPr>
                <w:rFonts w:ascii="Arial" w:cs="Arial" w:eastAsia="Arial" w:hAnsi="Arial"/>
                <w:sz w:val="20"/>
                <w:szCs w:val="20"/>
                <w:color w:val="auto"/>
              </w:rPr>
              <w:t>318,750</w:t>
            </w:r>
          </w:p>
        </w:tc>
        <w:tc>
          <w:tcPr>
            <w:tcW w:w="1300" w:type="dxa"/>
            <w:vAlign w:val="bottom"/>
            <w:tcBorders>
              <w:bottom w:val="single" w:sz="8" w:color="0033A0"/>
              <w:right w:val="single" w:sz="8" w:color="0033A0"/>
            </w:tcBorders>
          </w:tcPr>
          <w:p>
            <w:pPr>
              <w:jc w:val="right"/>
              <w:ind w:right="21"/>
              <w:spacing w:after="0" w:line="209" w:lineRule="exact"/>
              <w:rPr>
                <w:sz w:val="20"/>
                <w:szCs w:val="20"/>
                <w:color w:val="auto"/>
              </w:rPr>
            </w:pPr>
            <w:r>
              <w:rPr>
                <w:rFonts w:ascii="Arial" w:cs="Arial" w:eastAsia="Arial" w:hAnsi="Arial"/>
                <w:sz w:val="20"/>
                <w:szCs w:val="20"/>
                <w:color w:val="auto"/>
              </w:rPr>
              <w:t>49,500</w:t>
            </w:r>
          </w:p>
        </w:tc>
        <w:tc>
          <w:tcPr>
            <w:tcW w:w="1320" w:type="dxa"/>
            <w:vAlign w:val="bottom"/>
            <w:tcBorders>
              <w:bottom w:val="single" w:sz="8" w:color="0033A0"/>
            </w:tcBorders>
          </w:tcPr>
          <w:p>
            <w:pPr>
              <w:jc w:val="right"/>
              <w:ind w:right="1"/>
              <w:spacing w:after="0" w:line="209" w:lineRule="exact"/>
              <w:rPr>
                <w:sz w:val="20"/>
                <w:szCs w:val="20"/>
                <w:color w:val="auto"/>
              </w:rPr>
            </w:pPr>
            <w:r>
              <w:rPr>
                <w:rFonts w:ascii="Arial" w:cs="Arial" w:eastAsia="Arial" w:hAnsi="Arial"/>
                <w:sz w:val="20"/>
                <w:szCs w:val="20"/>
                <w:color w:val="auto"/>
              </w:rPr>
              <w:t>2,005,435</w:t>
            </w:r>
          </w:p>
        </w:tc>
        <w:tc>
          <w:tcPr>
            <w:tcW w:w="0" w:type="dxa"/>
            <w:vAlign w:val="bottom"/>
          </w:tcPr>
          <w:p>
            <w:pPr>
              <w:spacing w:after="0"/>
              <w:rPr>
                <w:sz w:val="1"/>
                <w:szCs w:val="1"/>
                <w:color w:val="auto"/>
              </w:rPr>
            </w:pPr>
          </w:p>
        </w:tc>
      </w:tr>
      <w:tr>
        <w:trPr>
          <w:trHeight w:val="210"/>
        </w:trPr>
        <w:tc>
          <w:tcPr>
            <w:tcW w:w="4140" w:type="dxa"/>
            <w:vAlign w:val="bottom"/>
            <w:tcBorders>
              <w:bottom w:val="single" w:sz="8" w:color="0033A0"/>
              <w:right w:val="single" w:sz="8" w:color="0033A0"/>
            </w:tcBorders>
            <w:shd w:val="clear" w:color="auto" w:fill="E6E6E6"/>
          </w:tcPr>
          <w:p>
            <w:pPr>
              <w:spacing w:after="0" w:line="209" w:lineRule="exact"/>
              <w:rPr>
                <w:sz w:val="20"/>
                <w:szCs w:val="20"/>
                <w:color w:val="auto"/>
              </w:rPr>
            </w:pPr>
            <w:r>
              <w:rPr>
                <w:rFonts w:ascii="Arial" w:cs="Arial" w:eastAsia="Arial" w:hAnsi="Arial"/>
                <w:sz w:val="20"/>
                <w:szCs w:val="20"/>
                <w:color w:val="auto"/>
              </w:rPr>
              <w:t>Thomas D. Kampfer</w:t>
            </w:r>
          </w:p>
        </w:tc>
        <w:tc>
          <w:tcPr>
            <w:tcW w:w="1500" w:type="dxa"/>
            <w:vAlign w:val="bottom"/>
            <w:tcBorders>
              <w:bottom w:val="single" w:sz="8" w:color="0033A0"/>
              <w:right w:val="single" w:sz="8" w:color="0033A0"/>
            </w:tcBorders>
            <w:shd w:val="clear" w:color="auto" w:fill="E6E6E6"/>
          </w:tcPr>
          <w:p>
            <w:pPr>
              <w:jc w:val="right"/>
              <w:ind w:right="1"/>
              <w:spacing w:after="0" w:line="209" w:lineRule="exact"/>
              <w:rPr>
                <w:sz w:val="20"/>
                <w:szCs w:val="20"/>
                <w:color w:val="auto"/>
              </w:rPr>
            </w:pPr>
            <w:r>
              <w:rPr>
                <w:rFonts w:ascii="Arial" w:cs="Arial" w:eastAsia="Arial" w:hAnsi="Arial"/>
                <w:sz w:val="20"/>
                <w:szCs w:val="20"/>
                <w:color w:val="auto"/>
              </w:rPr>
              <w:t>1,685,530</w:t>
            </w:r>
            <w:r>
              <w:rPr>
                <w:rFonts w:ascii="Arial" w:cs="Arial" w:eastAsia="Arial" w:hAnsi="Arial"/>
                <w:sz w:val="16"/>
                <w:szCs w:val="16"/>
                <w:color w:val="auto"/>
              </w:rPr>
              <w:t>(4)</w:t>
            </w:r>
          </w:p>
        </w:tc>
        <w:tc>
          <w:tcPr>
            <w:tcW w:w="1480" w:type="dxa"/>
            <w:vAlign w:val="bottom"/>
            <w:tcBorders>
              <w:bottom w:val="single" w:sz="8" w:color="0033A0"/>
              <w:right w:val="single" w:sz="8" w:color="0033A0"/>
            </w:tcBorders>
            <w:shd w:val="clear" w:color="auto" w:fill="E6E6E6"/>
          </w:tcPr>
          <w:p>
            <w:pPr>
              <w:jc w:val="right"/>
              <w:spacing w:after="0" w:line="209" w:lineRule="exact"/>
              <w:rPr>
                <w:sz w:val="20"/>
                <w:szCs w:val="20"/>
                <w:color w:val="auto"/>
              </w:rPr>
            </w:pPr>
            <w:r>
              <w:rPr>
                <w:rFonts w:ascii="Arial" w:cs="Arial" w:eastAsia="Arial" w:hAnsi="Arial"/>
                <w:sz w:val="20"/>
                <w:szCs w:val="20"/>
                <w:color w:val="auto"/>
              </w:rPr>
              <w:t>546,750</w:t>
            </w:r>
            <w:r>
              <w:rPr>
                <w:rFonts w:ascii="Arial" w:cs="Arial" w:eastAsia="Arial" w:hAnsi="Arial"/>
                <w:sz w:val="16"/>
                <w:szCs w:val="16"/>
                <w:color w:val="auto"/>
              </w:rPr>
              <w:t>(4)</w:t>
            </w:r>
          </w:p>
        </w:tc>
        <w:tc>
          <w:tcPr>
            <w:tcW w:w="1500" w:type="dxa"/>
            <w:vAlign w:val="bottom"/>
            <w:tcBorders>
              <w:bottom w:val="single" w:sz="8" w:color="0033A0"/>
              <w:right w:val="single" w:sz="8" w:color="0033A0"/>
            </w:tcBorders>
            <w:shd w:val="clear" w:color="auto" w:fill="E6E6E6"/>
          </w:tcPr>
          <w:p>
            <w:pPr>
              <w:ind w:left="480"/>
              <w:spacing w:after="0" w:line="209" w:lineRule="exact"/>
              <w:rPr>
                <w:sz w:val="20"/>
                <w:szCs w:val="20"/>
                <w:color w:val="auto"/>
              </w:rPr>
            </w:pPr>
            <w:r>
              <w:rPr>
                <w:rFonts w:ascii="Arial" w:cs="Arial" w:eastAsia="Arial" w:hAnsi="Arial"/>
                <w:sz w:val="20"/>
                <w:szCs w:val="20"/>
                <w:color w:val="auto"/>
              </w:rPr>
              <w:t>121,500</w:t>
            </w:r>
            <w:r>
              <w:rPr>
                <w:rFonts w:ascii="Arial" w:cs="Arial" w:eastAsia="Arial" w:hAnsi="Arial"/>
                <w:sz w:val="16"/>
                <w:szCs w:val="16"/>
                <w:color w:val="auto"/>
              </w:rPr>
              <w:t>(4)</w:t>
            </w:r>
          </w:p>
        </w:tc>
        <w:tc>
          <w:tcPr>
            <w:tcW w:w="1300" w:type="dxa"/>
            <w:vAlign w:val="bottom"/>
            <w:tcBorders>
              <w:bottom w:val="single" w:sz="8" w:color="0033A0"/>
              <w:right w:val="single" w:sz="8" w:color="0033A0"/>
            </w:tcBorders>
            <w:shd w:val="clear" w:color="auto" w:fill="E6E6E6"/>
          </w:tcPr>
          <w:p>
            <w:pPr>
              <w:jc w:val="right"/>
              <w:ind w:right="21"/>
              <w:spacing w:after="0" w:line="209" w:lineRule="exact"/>
              <w:rPr>
                <w:sz w:val="20"/>
                <w:szCs w:val="20"/>
                <w:color w:val="auto"/>
              </w:rPr>
            </w:pPr>
            <w:r>
              <w:rPr>
                <w:rFonts w:ascii="Arial" w:cs="Arial" w:eastAsia="Arial" w:hAnsi="Arial"/>
                <w:sz w:val="20"/>
                <w:szCs w:val="20"/>
                <w:color w:val="auto"/>
              </w:rPr>
              <w:t>61,649</w:t>
            </w:r>
          </w:p>
        </w:tc>
        <w:tc>
          <w:tcPr>
            <w:tcW w:w="1320" w:type="dxa"/>
            <w:vAlign w:val="bottom"/>
            <w:tcBorders>
              <w:bottom w:val="single" w:sz="8" w:color="0033A0"/>
            </w:tcBorders>
            <w:shd w:val="clear" w:color="auto" w:fill="E6E6E6"/>
          </w:tcPr>
          <w:p>
            <w:pPr>
              <w:jc w:val="right"/>
              <w:ind w:right="1"/>
              <w:spacing w:after="0" w:line="209" w:lineRule="exact"/>
              <w:rPr>
                <w:sz w:val="20"/>
                <w:szCs w:val="20"/>
                <w:color w:val="auto"/>
              </w:rPr>
            </w:pPr>
            <w:r>
              <w:rPr>
                <w:rFonts w:ascii="Arial" w:cs="Arial" w:eastAsia="Arial" w:hAnsi="Arial"/>
                <w:sz w:val="20"/>
                <w:szCs w:val="20"/>
                <w:color w:val="auto"/>
              </w:rPr>
              <w:t>955,631</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right="160" w:hanging="332"/>
        <w:spacing w:after="0" w:line="251"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Reflects the cash severance benefits payable in the event of a qualifying termination under the Change in Control Agreements for Dr. Müller and Messrs. Jones, Bohrson and Kampfer. These amounts are based on the individual’s base salary in effect as of December 28, 2024..</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Reflects reimbursement for continued health care benefits pursuant to COBRA, 24 months for Dr. Müller, and 18 months for Messrs. Jones, Bohrson and Kampfer.</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2005 Plan provides that in the event of a change in control of Cohu, as defined in the 2005 Plan, should the acquiring corporation not assume or substitute for the outstanding equity awards of Cohu, the exercisability and vesting of all such equity awards will be accelerated, effective as of a date prior to the change in control. As these awards were granted in 2024 or earlier, the applicable stock award agreement provides for acceleration upon a change in control. Amounts presented above for RSUs and PSUs have been calculated based on the total unvested RSUs and PSUs and the closing price of Cohu’s common stock of $26.83 per share on December 28, 2024, prior to the payment of associated taxes, held by Dr. Müller and Messrs. Jones, Bohrson and Kampfer as of December 28, 2024.</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Mr. Kampfer’s transitioned to a part-time role as Senior Vice President Corporate Development as of July 15. 2024, and his compensation was reduced accordingly.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Estimated Payments Upon a Qualifying Termination Not in Connection with a Change of Control</w:t>
      </w:r>
    </w:p>
    <w:p>
      <w:pPr>
        <w:spacing w:after="0" w:line="191"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In the event of termination of employment not in connection with a change of control in the case for Dr. Müller and Messrs. Jones, Bohrson and Kampfer by Cohu without cause, or by Dr. Müller for Good Reason as of December 28, 2024, the amounts payable to each NEO would have been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00" w:type="dxa"/>
            <w:vAlign w:val="bottom"/>
            <w:tcBorders>
              <w:top w:val="single" w:sz="8" w:color="0033A0"/>
              <w:right w:val="single" w:sz="8" w:color="0033A0"/>
            </w:tcBorders>
            <w:shd w:val="clear" w:color="auto" w:fill="2D53A6"/>
          </w:tcPr>
          <w:p>
            <w:pPr>
              <w:spacing w:after="0"/>
              <w:rPr>
                <w:sz w:val="17"/>
                <w:szCs w:val="17"/>
                <w:color w:val="auto"/>
              </w:rPr>
            </w:pPr>
          </w:p>
        </w:tc>
        <w:tc>
          <w:tcPr>
            <w:tcW w:w="1720" w:type="dxa"/>
            <w:vAlign w:val="bottom"/>
            <w:tcBorders>
              <w:top w:val="single" w:sz="8" w:color="0033A0"/>
              <w:right w:val="single" w:sz="8" w:color="0033A0"/>
            </w:tcBorders>
            <w:vMerge w:val="restart"/>
            <w:shd w:val="clear" w:color="auto" w:fill="2D53A6"/>
          </w:tcPr>
          <w:p>
            <w:pPr>
              <w:jc w:val="right"/>
              <w:ind w:right="541"/>
              <w:spacing w:after="0"/>
              <w:rPr>
                <w:sz w:val="20"/>
                <w:szCs w:val="20"/>
                <w:color w:val="auto"/>
              </w:rPr>
            </w:pPr>
            <w:r>
              <w:rPr>
                <w:rFonts w:ascii="Arial" w:cs="Arial" w:eastAsia="Arial" w:hAnsi="Arial"/>
                <w:sz w:val="20"/>
                <w:szCs w:val="20"/>
                <w:b w:val="1"/>
                <w:bCs w:val="1"/>
                <w:color w:val="FFFFFF"/>
              </w:rPr>
              <w:t>Total</w:t>
            </w:r>
          </w:p>
        </w:tc>
        <w:tc>
          <w:tcPr>
            <w:tcW w:w="1660" w:type="dxa"/>
            <w:vAlign w:val="bottom"/>
            <w:tcBorders>
              <w:top w:val="single" w:sz="8" w:color="0033A0"/>
              <w:right w:val="single" w:sz="8" w:color="0033A0"/>
            </w:tcBorders>
            <w:vMerge w:val="restart"/>
            <w:shd w:val="clear" w:color="auto" w:fill="2D53A6"/>
          </w:tcPr>
          <w:p>
            <w:pPr>
              <w:jc w:val="right"/>
              <w:ind w:right="241"/>
              <w:spacing w:after="0"/>
              <w:rPr>
                <w:sz w:val="20"/>
                <w:szCs w:val="20"/>
                <w:color w:val="auto"/>
              </w:rPr>
            </w:pPr>
            <w:r>
              <w:rPr>
                <w:rFonts w:ascii="Arial" w:cs="Arial" w:eastAsia="Arial" w:hAnsi="Arial"/>
                <w:sz w:val="20"/>
                <w:szCs w:val="20"/>
                <w:b w:val="1"/>
                <w:bCs w:val="1"/>
                <w:color w:val="FFFFFF"/>
              </w:rPr>
              <w:t>Severance</w:t>
            </w:r>
          </w:p>
        </w:tc>
        <w:tc>
          <w:tcPr>
            <w:tcW w:w="1660" w:type="dxa"/>
            <w:vAlign w:val="bottom"/>
            <w:tcBorders>
              <w:top w:val="single" w:sz="8" w:color="0033A0"/>
            </w:tcBorders>
            <w:shd w:val="clear" w:color="auto" w:fill="2D53A6"/>
          </w:tcPr>
          <w:p>
            <w:pPr>
              <w:jc w:val="center"/>
              <w:spacing w:after="0" w:line="206" w:lineRule="exact"/>
              <w:rPr>
                <w:sz w:val="20"/>
                <w:szCs w:val="20"/>
                <w:color w:val="auto"/>
              </w:rPr>
            </w:pPr>
            <w:r>
              <w:rPr>
                <w:rFonts w:ascii="Arial" w:cs="Arial" w:eastAsia="Arial" w:hAnsi="Arial"/>
                <w:sz w:val="20"/>
                <w:szCs w:val="20"/>
                <w:b w:val="1"/>
                <w:bCs w:val="1"/>
                <w:color w:val="FFFFFF"/>
              </w:rPr>
              <w:t>Medical</w:t>
            </w:r>
          </w:p>
        </w:tc>
        <w:tc>
          <w:tcPr>
            <w:tcW w:w="0" w:type="dxa"/>
            <w:vAlign w:val="bottom"/>
          </w:tcPr>
          <w:p>
            <w:pPr>
              <w:spacing w:after="0"/>
              <w:rPr>
                <w:sz w:val="1"/>
                <w:szCs w:val="1"/>
                <w:color w:val="auto"/>
              </w:rPr>
            </w:pPr>
          </w:p>
        </w:tc>
      </w:tr>
      <w:tr>
        <w:trPr>
          <w:trHeight w:val="108"/>
        </w:trPr>
        <w:tc>
          <w:tcPr>
            <w:tcW w:w="6200" w:type="dxa"/>
            <w:vAlign w:val="bottom"/>
            <w:tcBorders>
              <w:right w:val="single" w:sz="8" w:color="0033A0"/>
            </w:tcBorders>
            <w:vMerge w:val="restart"/>
            <w:shd w:val="clear" w:color="auto" w:fill="2D53A6"/>
          </w:tcPr>
          <w:p>
            <w:pPr>
              <w:spacing w:after="0" w:line="216" w:lineRule="exact"/>
              <w:rPr>
                <w:sz w:val="20"/>
                <w:szCs w:val="20"/>
                <w:color w:val="auto"/>
              </w:rPr>
            </w:pPr>
            <w:r>
              <w:rPr>
                <w:rFonts w:ascii="Arial" w:cs="Arial" w:eastAsia="Arial" w:hAnsi="Arial"/>
                <w:sz w:val="20"/>
                <w:szCs w:val="20"/>
                <w:b w:val="1"/>
                <w:bCs w:val="1"/>
                <w:color w:val="FFFFFF"/>
              </w:rPr>
              <w:t>Named Executive Officer</w:t>
            </w:r>
          </w:p>
        </w:tc>
        <w:tc>
          <w:tcPr>
            <w:tcW w:w="1720" w:type="dxa"/>
            <w:vAlign w:val="bottom"/>
            <w:tcBorders>
              <w:right w:val="single" w:sz="8" w:color="0033A0"/>
            </w:tcBorders>
            <w:vMerge w:val="continue"/>
            <w:shd w:val="clear" w:color="auto" w:fill="2D53A6"/>
          </w:tcPr>
          <w:p>
            <w:pPr>
              <w:spacing w:after="0"/>
              <w:rPr>
                <w:sz w:val="9"/>
                <w:szCs w:val="9"/>
                <w:color w:val="auto"/>
              </w:rPr>
            </w:pPr>
          </w:p>
        </w:tc>
        <w:tc>
          <w:tcPr>
            <w:tcW w:w="1660" w:type="dxa"/>
            <w:vAlign w:val="bottom"/>
            <w:tcBorders>
              <w:right w:val="single" w:sz="8" w:color="0033A0"/>
            </w:tcBorders>
            <w:vMerge w:val="continue"/>
            <w:shd w:val="clear" w:color="auto" w:fill="2D53A6"/>
          </w:tcPr>
          <w:p>
            <w:pPr>
              <w:spacing w:after="0"/>
              <w:rPr>
                <w:sz w:val="9"/>
                <w:szCs w:val="9"/>
                <w:color w:val="auto"/>
              </w:rPr>
            </w:pPr>
          </w:p>
        </w:tc>
        <w:tc>
          <w:tcPr>
            <w:tcW w:w="1660" w:type="dxa"/>
            <w:vAlign w:val="bottom"/>
            <w:vMerge w:val="restart"/>
            <w:shd w:val="clear" w:color="auto" w:fill="2D53A6"/>
          </w:tcPr>
          <w:p>
            <w:pPr>
              <w:jc w:val="center"/>
              <w:spacing w:after="0" w:line="216" w:lineRule="exact"/>
              <w:rPr>
                <w:sz w:val="20"/>
                <w:szCs w:val="20"/>
                <w:color w:val="auto"/>
              </w:rPr>
            </w:pPr>
            <w:r>
              <w:rPr>
                <w:rFonts w:ascii="Arial" w:cs="Arial" w:eastAsia="Arial" w:hAnsi="Arial"/>
                <w:sz w:val="20"/>
                <w:szCs w:val="20"/>
                <w:b w:val="1"/>
                <w:bCs w:val="1"/>
                <w:color w:val="FFFFFF"/>
                <w:w w:val="98"/>
              </w:rPr>
              <w:t>Benefits</w:t>
            </w:r>
          </w:p>
        </w:tc>
        <w:tc>
          <w:tcPr>
            <w:tcW w:w="0" w:type="dxa"/>
            <w:vAlign w:val="bottom"/>
          </w:tcPr>
          <w:p>
            <w:pPr>
              <w:spacing w:after="0"/>
              <w:rPr>
                <w:sz w:val="1"/>
                <w:szCs w:val="1"/>
                <w:color w:val="auto"/>
              </w:rPr>
            </w:pPr>
          </w:p>
        </w:tc>
      </w:tr>
      <w:tr>
        <w:trPr>
          <w:trHeight w:val="108"/>
        </w:trPr>
        <w:tc>
          <w:tcPr>
            <w:tcW w:w="6200" w:type="dxa"/>
            <w:vAlign w:val="bottom"/>
            <w:tcBorders>
              <w:right w:val="single" w:sz="8" w:color="0033A0"/>
            </w:tcBorders>
            <w:vMerge w:val="continue"/>
            <w:shd w:val="clear" w:color="auto" w:fill="2D53A6"/>
          </w:tcPr>
          <w:p>
            <w:pPr>
              <w:spacing w:after="0"/>
              <w:rPr>
                <w:sz w:val="9"/>
                <w:szCs w:val="9"/>
                <w:color w:val="auto"/>
              </w:rPr>
            </w:pPr>
          </w:p>
        </w:tc>
        <w:tc>
          <w:tcPr>
            <w:tcW w:w="1720" w:type="dxa"/>
            <w:vAlign w:val="bottom"/>
            <w:tcBorders>
              <w:right w:val="single" w:sz="8" w:color="0033A0"/>
            </w:tcBorders>
            <w:vMerge w:val="restart"/>
            <w:shd w:val="clear" w:color="auto" w:fill="2D53A6"/>
          </w:tcPr>
          <w:p>
            <w:pPr>
              <w:jc w:val="right"/>
              <w:ind w:right="661"/>
              <w:spacing w:after="0"/>
              <w:rPr>
                <w:sz w:val="20"/>
                <w:szCs w:val="20"/>
                <w:color w:val="auto"/>
              </w:rPr>
            </w:pPr>
            <w:r>
              <w:rPr>
                <w:rFonts w:ascii="Arial" w:cs="Arial" w:eastAsia="Arial" w:hAnsi="Arial"/>
                <w:sz w:val="20"/>
                <w:szCs w:val="20"/>
                <w:b w:val="1"/>
                <w:bCs w:val="1"/>
                <w:color w:val="FFFFFF"/>
              </w:rPr>
              <w:t>($)</w:t>
            </w:r>
          </w:p>
        </w:tc>
        <w:tc>
          <w:tcPr>
            <w:tcW w:w="1660" w:type="dxa"/>
            <w:vAlign w:val="bottom"/>
            <w:tcBorders>
              <w:right w:val="single" w:sz="8" w:color="0033A0"/>
            </w:tcBorders>
            <w:vMerge w:val="restart"/>
            <w:shd w:val="clear" w:color="auto" w:fill="2D53A6"/>
          </w:tcPr>
          <w:p>
            <w:pPr>
              <w:jc w:val="right"/>
              <w:ind w:right="481"/>
              <w:spacing w:after="0"/>
              <w:rPr>
                <w:sz w:val="20"/>
                <w:szCs w:val="20"/>
                <w:color w:val="auto"/>
              </w:rPr>
            </w:pPr>
            <w:r>
              <w:rPr>
                <w:rFonts w:ascii="Arial" w:cs="Arial" w:eastAsia="Arial" w:hAnsi="Arial"/>
                <w:sz w:val="20"/>
                <w:szCs w:val="20"/>
                <w:b w:val="1"/>
                <w:bCs w:val="1"/>
                <w:color w:val="FFFFFF"/>
              </w:rPr>
              <w:t xml:space="preserve">($) </w:t>
            </w:r>
            <w:r>
              <w:rPr>
                <w:rFonts w:ascii="Arial" w:cs="Arial" w:eastAsia="Arial" w:hAnsi="Arial"/>
                <w:sz w:val="16"/>
                <w:szCs w:val="16"/>
                <w:b w:val="1"/>
                <w:bCs w:val="1"/>
                <w:color w:val="FFFFFF"/>
              </w:rPr>
              <w:t>(1)</w:t>
            </w:r>
          </w:p>
        </w:tc>
        <w:tc>
          <w:tcPr>
            <w:tcW w:w="166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6200" w:type="dxa"/>
            <w:vAlign w:val="bottom"/>
            <w:tcBorders>
              <w:right w:val="single" w:sz="8" w:color="0033A0"/>
            </w:tcBorders>
            <w:shd w:val="clear" w:color="auto" w:fill="2D53A6"/>
          </w:tcPr>
          <w:p>
            <w:pPr>
              <w:spacing w:after="0"/>
              <w:rPr>
                <w:sz w:val="14"/>
                <w:szCs w:val="14"/>
                <w:color w:val="auto"/>
              </w:rPr>
            </w:pPr>
          </w:p>
        </w:tc>
        <w:tc>
          <w:tcPr>
            <w:tcW w:w="1720" w:type="dxa"/>
            <w:vAlign w:val="bottom"/>
            <w:tcBorders>
              <w:right w:val="single" w:sz="8" w:color="0033A0"/>
            </w:tcBorders>
            <w:vMerge w:val="continue"/>
            <w:shd w:val="clear" w:color="auto" w:fill="2D53A6"/>
          </w:tcPr>
          <w:p>
            <w:pPr>
              <w:spacing w:after="0"/>
              <w:rPr>
                <w:sz w:val="14"/>
                <w:szCs w:val="14"/>
                <w:color w:val="auto"/>
              </w:rPr>
            </w:pPr>
          </w:p>
        </w:tc>
        <w:tc>
          <w:tcPr>
            <w:tcW w:w="1660" w:type="dxa"/>
            <w:vAlign w:val="bottom"/>
            <w:tcBorders>
              <w:right w:val="single" w:sz="8" w:color="0033A0"/>
            </w:tcBorders>
            <w:vMerge w:val="continue"/>
            <w:shd w:val="clear" w:color="auto" w:fill="2D53A6"/>
          </w:tcPr>
          <w:p>
            <w:pPr>
              <w:spacing w:after="0"/>
              <w:rPr>
                <w:sz w:val="14"/>
                <w:szCs w:val="14"/>
                <w:color w:val="auto"/>
              </w:rPr>
            </w:pPr>
          </w:p>
        </w:tc>
        <w:tc>
          <w:tcPr>
            <w:tcW w:w="1660" w:type="dxa"/>
            <w:vAlign w:val="bottom"/>
            <w:vMerge w:val="restart"/>
            <w:shd w:val="clear" w:color="auto" w:fill="2D53A6"/>
          </w:tcPr>
          <w:p>
            <w:pPr>
              <w:jc w:val="center"/>
              <w:spacing w:after="0"/>
              <w:rPr>
                <w:sz w:val="20"/>
                <w:szCs w:val="20"/>
                <w:color w:val="auto"/>
              </w:rPr>
            </w:pPr>
            <w:r>
              <w:rPr>
                <w:rFonts w:ascii="Arial" w:cs="Arial" w:eastAsia="Arial" w:hAnsi="Arial"/>
                <w:sz w:val="20"/>
                <w:szCs w:val="20"/>
                <w:b w:val="1"/>
                <w:bCs w:val="1"/>
                <w:color w:val="FFFFFF"/>
              </w:rPr>
              <w:t xml:space="preserve">($) </w:t>
            </w:r>
            <w:r>
              <w:rPr>
                <w:rFonts w:ascii="Arial" w:cs="Arial" w:eastAsia="Arial" w:hAnsi="Arial"/>
                <w:sz w:val="16"/>
                <w:szCs w:val="16"/>
                <w:b w:val="1"/>
                <w:bCs w:val="1"/>
                <w:color w:val="FFFFFF"/>
              </w:rPr>
              <w:t>(2)</w:t>
            </w:r>
          </w:p>
        </w:tc>
        <w:tc>
          <w:tcPr>
            <w:tcW w:w="0" w:type="dxa"/>
            <w:vAlign w:val="bottom"/>
          </w:tcPr>
          <w:p>
            <w:pPr>
              <w:spacing w:after="0"/>
              <w:rPr>
                <w:sz w:val="1"/>
                <w:szCs w:val="1"/>
                <w:color w:val="auto"/>
              </w:rPr>
            </w:pPr>
          </w:p>
        </w:tc>
      </w:tr>
      <w:tr>
        <w:trPr>
          <w:trHeight w:val="74"/>
        </w:trPr>
        <w:tc>
          <w:tcPr>
            <w:tcW w:w="6200" w:type="dxa"/>
            <w:vAlign w:val="bottom"/>
            <w:tcBorders>
              <w:bottom w:val="single" w:sz="8" w:color="0033A0"/>
              <w:right w:val="single" w:sz="8" w:color="0033A0"/>
            </w:tcBorders>
            <w:shd w:val="clear" w:color="auto" w:fill="2D53A6"/>
          </w:tcPr>
          <w:p>
            <w:pPr>
              <w:spacing w:after="0"/>
              <w:rPr>
                <w:sz w:val="6"/>
                <w:szCs w:val="6"/>
                <w:color w:val="auto"/>
              </w:rPr>
            </w:pPr>
          </w:p>
        </w:tc>
        <w:tc>
          <w:tcPr>
            <w:tcW w:w="1720" w:type="dxa"/>
            <w:vAlign w:val="bottom"/>
            <w:tcBorders>
              <w:bottom w:val="single" w:sz="8" w:color="0033A0"/>
              <w:right w:val="single" w:sz="8" w:color="0033A0"/>
            </w:tcBorders>
            <w:shd w:val="clear" w:color="auto" w:fill="2D53A6"/>
          </w:tcPr>
          <w:p>
            <w:pPr>
              <w:spacing w:after="0"/>
              <w:rPr>
                <w:sz w:val="6"/>
                <w:szCs w:val="6"/>
                <w:color w:val="auto"/>
              </w:rPr>
            </w:pPr>
          </w:p>
        </w:tc>
        <w:tc>
          <w:tcPr>
            <w:tcW w:w="1660" w:type="dxa"/>
            <w:vAlign w:val="bottom"/>
            <w:tcBorders>
              <w:bottom w:val="single" w:sz="8" w:color="0033A0"/>
              <w:right w:val="single" w:sz="8" w:color="0033A0"/>
            </w:tcBorders>
            <w:shd w:val="clear" w:color="auto" w:fill="2D53A6"/>
          </w:tcPr>
          <w:p>
            <w:pPr>
              <w:spacing w:after="0"/>
              <w:rPr>
                <w:sz w:val="6"/>
                <w:szCs w:val="6"/>
                <w:color w:val="auto"/>
              </w:rPr>
            </w:pPr>
          </w:p>
        </w:tc>
        <w:tc>
          <w:tcPr>
            <w:tcW w:w="1660" w:type="dxa"/>
            <w:vAlign w:val="bottom"/>
            <w:tcBorders>
              <w:bottom w:val="single" w:sz="8" w:color="0033A0"/>
            </w:tcBorders>
            <w:vMerge w:val="continue"/>
            <w:shd w:val="clear" w:color="auto" w:fill="2D53A6"/>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0033A0"/>
              <w:right w:val="single" w:sz="8" w:color="0033A0"/>
            </w:tcBorders>
          </w:tcPr>
          <w:p>
            <w:pPr>
              <w:spacing w:after="0" w:line="209" w:lineRule="exact"/>
              <w:rPr>
                <w:sz w:val="20"/>
                <w:szCs w:val="20"/>
                <w:color w:val="auto"/>
              </w:rPr>
            </w:pPr>
            <w:r>
              <w:rPr>
                <w:rFonts w:ascii="Arial" w:cs="Arial" w:eastAsia="Arial" w:hAnsi="Arial"/>
                <w:sz w:val="20"/>
                <w:szCs w:val="20"/>
                <w:color w:val="auto"/>
              </w:rPr>
              <w:t>Luis A. Müller</w:t>
            </w:r>
          </w:p>
        </w:tc>
        <w:tc>
          <w:tcPr>
            <w:tcW w:w="1720" w:type="dxa"/>
            <w:vAlign w:val="bottom"/>
            <w:tcBorders>
              <w:bottom w:val="single" w:sz="8" w:color="0033A0"/>
              <w:right w:val="single" w:sz="8" w:color="0033A0"/>
            </w:tcBorders>
          </w:tcPr>
          <w:p>
            <w:pPr>
              <w:jc w:val="right"/>
              <w:ind w:right="41"/>
              <w:spacing w:after="0" w:line="209" w:lineRule="exact"/>
              <w:rPr>
                <w:sz w:val="20"/>
                <w:szCs w:val="20"/>
                <w:color w:val="auto"/>
              </w:rPr>
            </w:pPr>
            <w:r>
              <w:rPr>
                <w:rFonts w:ascii="Arial" w:cs="Arial" w:eastAsia="Arial" w:hAnsi="Arial"/>
                <w:sz w:val="20"/>
                <w:szCs w:val="20"/>
                <w:color w:val="auto"/>
              </w:rPr>
              <w:t>1,143,837</w:t>
            </w:r>
          </w:p>
        </w:tc>
        <w:tc>
          <w:tcPr>
            <w:tcW w:w="1660" w:type="dxa"/>
            <w:vAlign w:val="bottom"/>
            <w:tcBorders>
              <w:bottom w:val="single" w:sz="8" w:color="0033A0"/>
              <w:right w:val="single" w:sz="8" w:color="0033A0"/>
            </w:tcBorders>
          </w:tcPr>
          <w:p>
            <w:pPr>
              <w:jc w:val="right"/>
              <w:ind w:right="1"/>
              <w:spacing w:after="0" w:line="209" w:lineRule="exact"/>
              <w:rPr>
                <w:sz w:val="20"/>
                <w:szCs w:val="20"/>
                <w:color w:val="auto"/>
              </w:rPr>
            </w:pPr>
            <w:r>
              <w:rPr>
                <w:rFonts w:ascii="Arial" w:cs="Arial" w:eastAsia="Arial" w:hAnsi="Arial"/>
                <w:sz w:val="20"/>
                <w:szCs w:val="20"/>
                <w:color w:val="auto"/>
              </w:rPr>
              <w:t>1,072,500</w:t>
            </w:r>
          </w:p>
        </w:tc>
        <w:tc>
          <w:tcPr>
            <w:tcW w:w="1660" w:type="dxa"/>
            <w:vAlign w:val="bottom"/>
            <w:tcBorders>
              <w:bottom w:val="single" w:sz="8" w:color="0033A0"/>
            </w:tcBorders>
          </w:tcPr>
          <w:p>
            <w:pPr>
              <w:jc w:val="right"/>
              <w:ind w:right="1"/>
              <w:spacing w:after="0" w:line="209" w:lineRule="exact"/>
              <w:rPr>
                <w:sz w:val="20"/>
                <w:szCs w:val="20"/>
                <w:color w:val="auto"/>
              </w:rPr>
            </w:pPr>
            <w:r>
              <w:rPr>
                <w:rFonts w:ascii="Arial" w:cs="Arial" w:eastAsia="Arial" w:hAnsi="Arial"/>
                <w:sz w:val="20"/>
                <w:szCs w:val="20"/>
                <w:color w:val="auto"/>
              </w:rPr>
              <w:t>71,337</w:t>
            </w:r>
          </w:p>
        </w:tc>
        <w:tc>
          <w:tcPr>
            <w:tcW w:w="0" w:type="dxa"/>
            <w:vAlign w:val="bottom"/>
          </w:tcPr>
          <w:p>
            <w:pPr>
              <w:spacing w:after="0"/>
              <w:rPr>
                <w:sz w:val="1"/>
                <w:szCs w:val="1"/>
                <w:color w:val="auto"/>
              </w:rPr>
            </w:pPr>
          </w:p>
        </w:tc>
      </w:tr>
      <w:tr>
        <w:trPr>
          <w:trHeight w:val="210"/>
        </w:trPr>
        <w:tc>
          <w:tcPr>
            <w:tcW w:w="6200" w:type="dxa"/>
            <w:vAlign w:val="bottom"/>
            <w:tcBorders>
              <w:bottom w:val="single" w:sz="8" w:color="0033A0"/>
              <w:right w:val="single" w:sz="8" w:color="0033A0"/>
            </w:tcBorders>
            <w:shd w:val="clear" w:color="auto" w:fill="E6E6E6"/>
          </w:tcPr>
          <w:p>
            <w:pPr>
              <w:spacing w:after="0" w:line="209" w:lineRule="exact"/>
              <w:rPr>
                <w:sz w:val="20"/>
                <w:szCs w:val="20"/>
                <w:color w:val="auto"/>
              </w:rPr>
            </w:pPr>
            <w:r>
              <w:rPr>
                <w:rFonts w:ascii="Arial" w:cs="Arial" w:eastAsia="Arial" w:hAnsi="Arial"/>
                <w:sz w:val="20"/>
                <w:szCs w:val="20"/>
                <w:color w:val="auto"/>
              </w:rPr>
              <w:t>Jeffrey D. Jones</w:t>
            </w:r>
          </w:p>
        </w:tc>
        <w:tc>
          <w:tcPr>
            <w:tcW w:w="1720" w:type="dxa"/>
            <w:vAlign w:val="bottom"/>
            <w:tcBorders>
              <w:bottom w:val="single" w:sz="8" w:color="0033A0"/>
              <w:right w:val="single" w:sz="8" w:color="0033A0"/>
            </w:tcBorders>
            <w:shd w:val="clear" w:color="auto" w:fill="E6E6E6"/>
          </w:tcPr>
          <w:p>
            <w:pPr>
              <w:jc w:val="right"/>
              <w:ind w:right="41"/>
              <w:spacing w:after="0" w:line="209" w:lineRule="exact"/>
              <w:rPr>
                <w:sz w:val="20"/>
                <w:szCs w:val="20"/>
                <w:color w:val="auto"/>
              </w:rPr>
            </w:pPr>
            <w:r>
              <w:rPr>
                <w:rFonts w:ascii="Arial" w:cs="Arial" w:eastAsia="Arial" w:hAnsi="Arial"/>
                <w:sz w:val="20"/>
                <w:szCs w:val="20"/>
                <w:color w:val="auto"/>
              </w:rPr>
              <w:t>502,558</w:t>
            </w:r>
          </w:p>
        </w:tc>
        <w:tc>
          <w:tcPr>
            <w:tcW w:w="1660" w:type="dxa"/>
            <w:vAlign w:val="bottom"/>
            <w:tcBorders>
              <w:bottom w:val="single" w:sz="8" w:color="0033A0"/>
              <w:right w:val="single" w:sz="8" w:color="0033A0"/>
            </w:tcBorders>
            <w:shd w:val="clear" w:color="auto" w:fill="E6E6E6"/>
          </w:tcPr>
          <w:p>
            <w:pPr>
              <w:jc w:val="right"/>
              <w:ind w:right="1"/>
              <w:spacing w:after="0" w:line="209" w:lineRule="exact"/>
              <w:rPr>
                <w:sz w:val="20"/>
                <w:szCs w:val="20"/>
                <w:color w:val="auto"/>
              </w:rPr>
            </w:pPr>
            <w:r>
              <w:rPr>
                <w:rFonts w:ascii="Arial" w:cs="Arial" w:eastAsia="Arial" w:hAnsi="Arial"/>
                <w:sz w:val="20"/>
                <w:szCs w:val="20"/>
                <w:color w:val="auto"/>
              </w:rPr>
              <w:t>455,000</w:t>
            </w:r>
          </w:p>
        </w:tc>
        <w:tc>
          <w:tcPr>
            <w:tcW w:w="1660" w:type="dxa"/>
            <w:vAlign w:val="bottom"/>
            <w:tcBorders>
              <w:bottom w:val="single" w:sz="8" w:color="0033A0"/>
            </w:tcBorders>
            <w:shd w:val="clear" w:color="auto" w:fill="E6E6E6"/>
          </w:tcPr>
          <w:p>
            <w:pPr>
              <w:jc w:val="right"/>
              <w:ind w:right="1"/>
              <w:spacing w:after="0" w:line="209" w:lineRule="exact"/>
              <w:rPr>
                <w:sz w:val="20"/>
                <w:szCs w:val="20"/>
                <w:color w:val="auto"/>
              </w:rPr>
            </w:pPr>
            <w:r>
              <w:rPr>
                <w:rFonts w:ascii="Arial" w:cs="Arial" w:eastAsia="Arial" w:hAnsi="Arial"/>
                <w:sz w:val="20"/>
                <w:szCs w:val="20"/>
                <w:color w:val="auto"/>
              </w:rPr>
              <w:t>47,558</w:t>
            </w:r>
          </w:p>
        </w:tc>
        <w:tc>
          <w:tcPr>
            <w:tcW w:w="0" w:type="dxa"/>
            <w:vAlign w:val="bottom"/>
          </w:tcPr>
          <w:p>
            <w:pPr>
              <w:spacing w:after="0"/>
              <w:rPr>
                <w:sz w:val="1"/>
                <w:szCs w:val="1"/>
                <w:color w:val="auto"/>
              </w:rPr>
            </w:pPr>
          </w:p>
        </w:tc>
      </w:tr>
      <w:tr>
        <w:trPr>
          <w:trHeight w:val="210"/>
        </w:trPr>
        <w:tc>
          <w:tcPr>
            <w:tcW w:w="6200" w:type="dxa"/>
            <w:vAlign w:val="bottom"/>
            <w:tcBorders>
              <w:bottom w:val="single" w:sz="8" w:color="0033A0"/>
              <w:right w:val="single" w:sz="8" w:color="0033A0"/>
            </w:tcBorders>
          </w:tcPr>
          <w:p>
            <w:pPr>
              <w:spacing w:after="0" w:line="209" w:lineRule="exact"/>
              <w:rPr>
                <w:sz w:val="20"/>
                <w:szCs w:val="20"/>
                <w:color w:val="auto"/>
              </w:rPr>
            </w:pPr>
            <w:r>
              <w:rPr>
                <w:rFonts w:ascii="Arial" w:cs="Arial" w:eastAsia="Arial" w:hAnsi="Arial"/>
                <w:sz w:val="20"/>
                <w:szCs w:val="20"/>
                <w:color w:val="auto"/>
              </w:rPr>
              <w:t>Christopher G. Bohrson</w:t>
            </w:r>
          </w:p>
        </w:tc>
        <w:tc>
          <w:tcPr>
            <w:tcW w:w="1720" w:type="dxa"/>
            <w:vAlign w:val="bottom"/>
            <w:tcBorders>
              <w:bottom w:val="single" w:sz="8" w:color="0033A0"/>
              <w:right w:val="single" w:sz="8" w:color="0033A0"/>
            </w:tcBorders>
          </w:tcPr>
          <w:p>
            <w:pPr>
              <w:jc w:val="right"/>
              <w:ind w:right="41"/>
              <w:spacing w:after="0" w:line="209" w:lineRule="exact"/>
              <w:rPr>
                <w:sz w:val="20"/>
                <w:szCs w:val="20"/>
                <w:color w:val="auto"/>
              </w:rPr>
            </w:pPr>
            <w:r>
              <w:rPr>
                <w:rFonts w:ascii="Arial" w:cs="Arial" w:eastAsia="Arial" w:hAnsi="Arial"/>
                <w:sz w:val="20"/>
                <w:szCs w:val="20"/>
                <w:color w:val="auto"/>
              </w:rPr>
              <w:t>458,000</w:t>
            </w:r>
          </w:p>
        </w:tc>
        <w:tc>
          <w:tcPr>
            <w:tcW w:w="1660" w:type="dxa"/>
            <w:vAlign w:val="bottom"/>
            <w:tcBorders>
              <w:bottom w:val="single" w:sz="8" w:color="0033A0"/>
              <w:right w:val="single" w:sz="8" w:color="0033A0"/>
            </w:tcBorders>
          </w:tcPr>
          <w:p>
            <w:pPr>
              <w:jc w:val="right"/>
              <w:ind w:right="1"/>
              <w:spacing w:after="0" w:line="209" w:lineRule="exact"/>
              <w:rPr>
                <w:sz w:val="20"/>
                <w:szCs w:val="20"/>
                <w:color w:val="auto"/>
              </w:rPr>
            </w:pPr>
            <w:r>
              <w:rPr>
                <w:rFonts w:ascii="Arial" w:cs="Arial" w:eastAsia="Arial" w:hAnsi="Arial"/>
                <w:sz w:val="20"/>
                <w:szCs w:val="20"/>
                <w:color w:val="auto"/>
              </w:rPr>
              <w:t>425,000</w:t>
            </w:r>
          </w:p>
        </w:tc>
        <w:tc>
          <w:tcPr>
            <w:tcW w:w="1660" w:type="dxa"/>
            <w:vAlign w:val="bottom"/>
            <w:tcBorders>
              <w:bottom w:val="single" w:sz="8" w:color="0033A0"/>
            </w:tcBorders>
          </w:tcPr>
          <w:p>
            <w:pPr>
              <w:jc w:val="right"/>
              <w:ind w:right="1"/>
              <w:spacing w:after="0" w:line="209" w:lineRule="exact"/>
              <w:rPr>
                <w:sz w:val="20"/>
                <w:szCs w:val="20"/>
                <w:color w:val="auto"/>
              </w:rPr>
            </w:pPr>
            <w:r>
              <w:rPr>
                <w:rFonts w:ascii="Arial" w:cs="Arial" w:eastAsia="Arial" w:hAnsi="Arial"/>
                <w:sz w:val="20"/>
                <w:szCs w:val="20"/>
                <w:color w:val="auto"/>
              </w:rPr>
              <w:t>33,000</w:t>
            </w:r>
          </w:p>
        </w:tc>
        <w:tc>
          <w:tcPr>
            <w:tcW w:w="0" w:type="dxa"/>
            <w:vAlign w:val="bottom"/>
          </w:tcPr>
          <w:p>
            <w:pPr>
              <w:spacing w:after="0"/>
              <w:rPr>
                <w:sz w:val="1"/>
                <w:szCs w:val="1"/>
                <w:color w:val="auto"/>
              </w:rPr>
            </w:pPr>
          </w:p>
        </w:tc>
      </w:tr>
      <w:tr>
        <w:trPr>
          <w:trHeight w:val="210"/>
        </w:trPr>
        <w:tc>
          <w:tcPr>
            <w:tcW w:w="6200" w:type="dxa"/>
            <w:vAlign w:val="bottom"/>
            <w:tcBorders>
              <w:bottom w:val="single" w:sz="8" w:color="0033A0"/>
              <w:right w:val="single" w:sz="8" w:color="0033A0"/>
            </w:tcBorders>
            <w:shd w:val="clear" w:color="auto" w:fill="E6E6E6"/>
          </w:tcPr>
          <w:p>
            <w:pPr>
              <w:spacing w:after="0" w:line="209" w:lineRule="exact"/>
              <w:rPr>
                <w:sz w:val="20"/>
                <w:szCs w:val="20"/>
                <w:color w:val="auto"/>
              </w:rPr>
            </w:pPr>
            <w:r>
              <w:rPr>
                <w:rFonts w:ascii="Arial" w:cs="Arial" w:eastAsia="Arial" w:hAnsi="Arial"/>
                <w:sz w:val="20"/>
                <w:szCs w:val="20"/>
                <w:color w:val="auto"/>
              </w:rPr>
              <w:t>Thomas D. Kampfer</w:t>
            </w:r>
          </w:p>
        </w:tc>
        <w:tc>
          <w:tcPr>
            <w:tcW w:w="1720" w:type="dxa"/>
            <w:vAlign w:val="bottom"/>
            <w:tcBorders>
              <w:bottom w:val="single" w:sz="8" w:color="0033A0"/>
              <w:right w:val="single" w:sz="8" w:color="0033A0"/>
            </w:tcBorders>
            <w:shd w:val="clear" w:color="auto" w:fill="E6E6E6"/>
          </w:tcPr>
          <w:p>
            <w:pPr>
              <w:jc w:val="right"/>
              <w:ind w:right="41"/>
              <w:spacing w:after="0" w:line="209" w:lineRule="exact"/>
              <w:rPr>
                <w:sz w:val="20"/>
                <w:szCs w:val="20"/>
                <w:color w:val="auto"/>
              </w:rPr>
            </w:pPr>
            <w:r>
              <w:rPr>
                <w:rFonts w:ascii="Arial" w:cs="Arial" w:eastAsia="Arial" w:hAnsi="Arial"/>
                <w:sz w:val="20"/>
                <w:szCs w:val="20"/>
                <w:color w:val="auto"/>
              </w:rPr>
              <w:t>284,099</w:t>
            </w:r>
          </w:p>
        </w:tc>
        <w:tc>
          <w:tcPr>
            <w:tcW w:w="1660" w:type="dxa"/>
            <w:vAlign w:val="bottom"/>
            <w:tcBorders>
              <w:bottom w:val="single" w:sz="8" w:color="0033A0"/>
              <w:right w:val="single" w:sz="8" w:color="0033A0"/>
            </w:tcBorders>
            <w:shd w:val="clear" w:color="auto" w:fill="E6E6E6"/>
          </w:tcPr>
          <w:p>
            <w:pPr>
              <w:jc w:val="right"/>
              <w:ind w:right="1"/>
              <w:spacing w:after="0" w:line="209" w:lineRule="exact"/>
              <w:rPr>
                <w:sz w:val="20"/>
                <w:szCs w:val="20"/>
                <w:color w:val="auto"/>
              </w:rPr>
            </w:pPr>
            <w:r>
              <w:rPr>
                <w:rFonts w:ascii="Arial" w:cs="Arial" w:eastAsia="Arial" w:hAnsi="Arial"/>
                <w:sz w:val="20"/>
                <w:szCs w:val="20"/>
                <w:color w:val="auto"/>
              </w:rPr>
              <w:t>243,000</w:t>
            </w:r>
          </w:p>
        </w:tc>
        <w:tc>
          <w:tcPr>
            <w:tcW w:w="1660" w:type="dxa"/>
            <w:vAlign w:val="bottom"/>
            <w:tcBorders>
              <w:bottom w:val="single" w:sz="8" w:color="0033A0"/>
            </w:tcBorders>
            <w:shd w:val="clear" w:color="auto" w:fill="E6E6E6"/>
          </w:tcPr>
          <w:p>
            <w:pPr>
              <w:jc w:val="right"/>
              <w:ind w:right="1"/>
              <w:spacing w:after="0" w:line="209" w:lineRule="exact"/>
              <w:rPr>
                <w:sz w:val="20"/>
                <w:szCs w:val="20"/>
                <w:color w:val="auto"/>
              </w:rPr>
            </w:pPr>
            <w:r>
              <w:rPr>
                <w:rFonts w:ascii="Arial" w:cs="Arial" w:eastAsia="Arial" w:hAnsi="Arial"/>
                <w:sz w:val="20"/>
                <w:szCs w:val="20"/>
                <w:color w:val="auto"/>
              </w:rPr>
              <w:t>41,099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right="720" w:hanging="332"/>
        <w:spacing w:after="0" w:line="251"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Reflects the cash severance benefits payable in the event of a qualifying termination under Dr. Müller’s and Messrs. Jones’, Bohrson’s and Kampfer’s respective Severance Agreement. These amounts are based on the individual’s base salary in effect as of December 28, 2024.</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Reflects reimbursement for continued health care benefits pursuant to COBRA,18 months for Dr. Müller, and 12 months for Messrs. Jones, Bohrson and Kampfer.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Other than as described above, and in the “Employment Agreements” and “Post-Employment Compensation” sections of the Compensation Discussion and Analysis, there are no other benefits or payments that would be paid to our NEOs upon resignation, severance, retirement, termination or a change in control of Cohu.</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36"/>
          <w:szCs w:val="36"/>
          <w:b w:val="1"/>
          <w:bCs w:val="1"/>
          <w:color w:val="FFFFFF"/>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-257175</wp:posOffset>
            </wp:positionV>
            <wp:extent cx="7136130" cy="3041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6130" cy="30416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b w:val="1"/>
          <w:bCs w:val="1"/>
          <w:color w:val="0033A0"/>
        </w:rPr>
        <w:t>Audit Committee Report</w:t>
      </w:r>
    </w:p>
    <w:p>
      <w:pPr>
        <w:spacing w:after="0" w:line="2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information contained in this report shall not be deemed to be “soliciting material” or “filed” with the SEC or subject to the liabilities of Section 18 of the Securities Exchange Act of 1934, as amended (the “Exchange Act”) except to the extent that Cohu specifically incorporates it by reference into a document filed under the Securities Act of 1933, as amended (the “Securities Act”) or the Exchange Act.</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0033A0"/>
        </w:rPr>
        <w:t>Composition</w:t>
      </w:r>
    </w:p>
    <w:p>
      <w:pPr>
        <w:spacing w:after="0" w:line="200"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Audit Committee of the Board of Directors is composed of three (3) independent directors, as defined in the Nasdaq listing standards, and operates under a written charter adopted by the Board of Directors. The current members of the Audit Committee are William E. Bendush (Chair), Karen M. Rapp and Yon Y. Jorden.</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0033A0"/>
        </w:rPr>
        <w:t>Responsibilities</w:t>
      </w:r>
    </w:p>
    <w:p>
      <w:pPr>
        <w:spacing w:after="0" w:line="200" w:lineRule="exact"/>
        <w:rPr>
          <w:sz w:val="20"/>
          <w:szCs w:val="20"/>
          <w:color w:val="auto"/>
        </w:rPr>
      </w:pPr>
    </w:p>
    <w:p>
      <w:pPr>
        <w:ind w:right="280"/>
        <w:spacing w:after="0" w:line="242" w:lineRule="auto"/>
        <w:rPr>
          <w:sz w:val="20"/>
          <w:szCs w:val="20"/>
          <w:color w:val="auto"/>
        </w:rPr>
      </w:pPr>
      <w:r>
        <w:rPr>
          <w:rFonts w:ascii="Arial" w:cs="Arial" w:eastAsia="Arial" w:hAnsi="Arial"/>
          <w:sz w:val="18"/>
          <w:szCs w:val="18"/>
          <w:color w:val="auto"/>
        </w:rPr>
        <w:t>The Audit Committee assists the Board in fulfilling its responsibilities for general oversight of the integrity of Cohu’s financial statements, Cohu’s compliance with legal and regulatory requirements, the independent registered public accounting firm’s qualifications and independence, and risk assessment and risk management. The Audit Committee manages Cohu’s relationship with its independent registered public accounting firm (who report directly to the Audit Committee). The Audit Committee has the authority to obtain advice and assistance from outside legal, accounting or other advisors as the Audit Committee deems necessary to carry out its duties, and receive appropriate funding, as determined by the Audit Committee, from Cohu for such advice and assistance.</w:t>
      </w:r>
    </w:p>
    <w:p>
      <w:pPr>
        <w:spacing w:after="0" w:line="16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Cohu’s management has responsibility for preparing Cohu’s financial statements and Cohu’s financial reporting process. Cohu’s independent registered public accounting firm, Ernst &amp; Young LLP, is responsible for expressing an opinion on (i) the conformity of Cohu’s audited financial statements with accounting principles generally accepted in the United States, and (ii) the effectiveness of Cohu’s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0033A0"/>
        </w:rPr>
        <w:t>Review with Management and Independent Registered Public Accounting Firm</w:t>
      </w:r>
    </w:p>
    <w:p>
      <w:pPr>
        <w:spacing w:after="0" w:line="200" w:lineRule="exact"/>
        <w:rPr>
          <w:sz w:val="20"/>
          <w:szCs w:val="20"/>
          <w:color w:val="auto"/>
        </w:rPr>
      </w:pPr>
    </w:p>
    <w:p>
      <w:pPr>
        <w:jc w:val="both"/>
        <w:ind w:right="160"/>
        <w:spacing w:after="0" w:line="244" w:lineRule="auto"/>
        <w:rPr>
          <w:sz w:val="20"/>
          <w:szCs w:val="20"/>
          <w:color w:val="auto"/>
        </w:rPr>
      </w:pPr>
      <w:r>
        <w:rPr>
          <w:rFonts w:ascii="Arial" w:cs="Arial" w:eastAsia="Arial" w:hAnsi="Arial"/>
          <w:sz w:val="18"/>
          <w:szCs w:val="18"/>
          <w:color w:val="auto"/>
        </w:rPr>
        <w:t>In this context, the Audit Committee has reviewed and discussed the audited consolidated financial statements contained in Cohu’s Annual Report on Form 10-K for the year ended December 28, 2024, and Cohu’s effectiveness of internal control over financial reporting, together and separately, with management and the independent registered public accounting firm. The Audit Committee also discussed with Ernst &amp; Young LLP matters required to be discussed pursuant to standards of the Public Company Accounting Oversight Board (“PCAOB”) and the applicable requirements of the SEC.</w:t>
      </w:r>
    </w:p>
    <w:p>
      <w:pPr>
        <w:spacing w:after="0" w:line="163"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color w:val="auto"/>
        </w:rPr>
        <w:t>Ernst &amp; Young LLP also provided to the Audit Committee the written disclosures and the letter required by applicable requirements of the PCAOB regarding Ernst &amp; Young LLP’s communications with the Audit Committee concerning independence. The Audit Committee discussed with Ernst &amp; Young LLP any relationships that may impact their objectivity and independence, and satisfied itself as to Ernst &amp; Young LLP’s independence.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0033A0"/>
        </w:rPr>
        <w:t>Summary</w:t>
      </w:r>
    </w:p>
    <w:p>
      <w:pPr>
        <w:spacing w:after="0" w:line="20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Based upon the Audit Committee’s review and discussions with management and Ernst &amp; Young LLP and the Audit Committee’s review of the representations of management, and the reports of Ernst &amp; Young LLP to the Audit Committee, the Audit Committee recommended to the Board of Directors, and the Board approved, that the audited consolidated financial statements be included in Cohu’s Annual Report on Form 10-K for the year ended December 28, 2024, for filing with the SEC.</w:t>
      </w:r>
    </w:p>
    <w:p>
      <w:pPr>
        <w:spacing w:after="0" w:line="16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Audit Committee appointed Ernst &amp; Young LLP as Cohu’s independent registered public accounting firm for fiscal year 2025 and recommends to stockholders that they ratify the appointment of Ernst &amp; Young LLP as Cohu’s independent registered public accounting firm for fiscal year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This report is submitted by the Audit Committee.</w:t>
      </w:r>
    </w:p>
    <w:p>
      <w:pPr>
        <w:spacing w:after="0" w:line="198" w:lineRule="exact"/>
        <w:rPr>
          <w:sz w:val="20"/>
          <w:szCs w:val="20"/>
          <w:color w:val="auto"/>
        </w:rPr>
      </w:pPr>
    </w:p>
    <w:p>
      <w:pPr>
        <w:ind w:left="2920"/>
        <w:spacing w:after="0"/>
        <w:tabs>
          <w:tab w:leader="none" w:pos="5500" w:val="left"/>
          <w:tab w:leader="none" w:pos="7220" w:val="left"/>
        </w:tabs>
        <w:rPr>
          <w:sz w:val="20"/>
          <w:szCs w:val="20"/>
          <w:color w:val="auto"/>
        </w:rPr>
      </w:pPr>
      <w:r>
        <w:rPr>
          <w:rFonts w:ascii="Arial" w:cs="Arial" w:eastAsia="Arial" w:hAnsi="Arial"/>
          <w:sz w:val="18"/>
          <w:szCs w:val="18"/>
          <w:color w:val="auto"/>
        </w:rPr>
        <w:t>William E. Bendush (Chair)</w:t>
      </w:r>
      <w:r>
        <w:rPr>
          <w:sz w:val="20"/>
          <w:szCs w:val="20"/>
          <w:color w:val="auto"/>
        </w:rPr>
        <w:tab/>
      </w:r>
      <w:r>
        <w:rPr>
          <w:rFonts w:ascii="Arial" w:cs="Arial" w:eastAsia="Arial" w:hAnsi="Arial"/>
          <w:sz w:val="18"/>
          <w:szCs w:val="18"/>
          <w:color w:val="auto"/>
        </w:rPr>
        <w:t>Karen M. Rapp</w:t>
      </w:r>
      <w:r>
        <w:rPr>
          <w:sz w:val="20"/>
          <w:szCs w:val="20"/>
          <w:color w:val="auto"/>
        </w:rPr>
        <w:tab/>
      </w:r>
      <w:r>
        <w:rPr>
          <w:rFonts w:ascii="Arial" w:cs="Arial" w:eastAsia="Arial" w:hAnsi="Arial"/>
          <w:sz w:val="17"/>
          <w:szCs w:val="17"/>
          <w:color w:val="auto"/>
        </w:rPr>
        <w:t>Yon Y. Jorden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Principal Accounting Fees and Services</w:t>
      </w:r>
    </w:p>
    <w:p>
      <w:pPr>
        <w:spacing w:after="0" w:line="202"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The following table shows the fees billed to Cohu for the audit and other services provided by Ernst &amp; Young LLP for the years ended December 28, 2024, and December 30,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80" w:type="dxa"/>
            <w:vAlign w:val="bottom"/>
            <w:tcBorders>
              <w:top w:val="single" w:sz="8" w:color="0033A0"/>
              <w:bottom w:val="single" w:sz="8" w:color="0033A0"/>
              <w:right w:val="single" w:sz="8" w:color="0033A0"/>
            </w:tcBorders>
            <w:shd w:val="clear" w:color="auto" w:fill="2D53A6"/>
          </w:tcPr>
          <w:p>
            <w:pPr>
              <w:spacing w:after="0"/>
              <w:rPr>
                <w:sz w:val="20"/>
                <w:szCs w:val="20"/>
                <w:color w:val="auto"/>
              </w:rPr>
            </w:pPr>
            <w:r>
              <w:rPr>
                <w:rFonts w:ascii="Arial" w:cs="Arial" w:eastAsia="Arial" w:hAnsi="Arial"/>
                <w:sz w:val="20"/>
                <w:szCs w:val="20"/>
                <w:b w:val="1"/>
                <w:bCs w:val="1"/>
                <w:color w:val="FFFFFF"/>
              </w:rPr>
              <w:t>(in thousands)</w:t>
            </w:r>
          </w:p>
        </w:tc>
        <w:tc>
          <w:tcPr>
            <w:tcW w:w="420" w:type="dxa"/>
            <w:vAlign w:val="bottom"/>
            <w:tcBorders>
              <w:top w:val="single" w:sz="8" w:color="0033A0"/>
              <w:bottom w:val="single" w:sz="8" w:color="0033A0"/>
            </w:tcBorders>
            <w:shd w:val="clear" w:color="auto" w:fill="2D53A6"/>
          </w:tcPr>
          <w:p>
            <w:pPr>
              <w:spacing w:after="0"/>
              <w:rPr>
                <w:sz w:val="19"/>
                <w:szCs w:val="19"/>
                <w:color w:val="auto"/>
              </w:rPr>
            </w:pPr>
          </w:p>
        </w:tc>
        <w:tc>
          <w:tcPr>
            <w:tcW w:w="660" w:type="dxa"/>
            <w:vAlign w:val="bottom"/>
            <w:tcBorders>
              <w:top w:val="single" w:sz="8" w:color="0033A0"/>
              <w:bottom w:val="single" w:sz="8" w:color="0033A0"/>
            </w:tcBorders>
            <w:shd w:val="clear" w:color="auto" w:fill="2D53A6"/>
          </w:tcPr>
          <w:p>
            <w:pPr>
              <w:jc w:val="right"/>
              <w:spacing w:after="0"/>
              <w:rPr>
                <w:sz w:val="20"/>
                <w:szCs w:val="20"/>
                <w:color w:val="auto"/>
              </w:rPr>
            </w:pPr>
            <w:r>
              <w:rPr>
                <w:rFonts w:ascii="Arial" w:cs="Arial" w:eastAsia="Arial" w:hAnsi="Arial"/>
                <w:sz w:val="20"/>
                <w:szCs w:val="20"/>
                <w:b w:val="1"/>
                <w:bCs w:val="1"/>
                <w:color w:val="FFFFFF"/>
              </w:rPr>
              <w:t>2024</w:t>
            </w:r>
          </w:p>
        </w:tc>
        <w:tc>
          <w:tcPr>
            <w:tcW w:w="180" w:type="dxa"/>
            <w:vAlign w:val="bottom"/>
            <w:tcBorders>
              <w:top w:val="single" w:sz="8" w:color="0033A0"/>
              <w:bottom w:val="single" w:sz="8" w:color="0033A0"/>
            </w:tcBorders>
            <w:shd w:val="clear" w:color="auto" w:fill="2D53A6"/>
          </w:tcPr>
          <w:p>
            <w:pPr>
              <w:spacing w:after="0"/>
              <w:rPr>
                <w:sz w:val="19"/>
                <w:szCs w:val="19"/>
                <w:color w:val="auto"/>
              </w:rPr>
            </w:pPr>
          </w:p>
        </w:tc>
        <w:tc>
          <w:tcPr>
            <w:tcW w:w="320" w:type="dxa"/>
            <w:vAlign w:val="bottom"/>
            <w:tcBorders>
              <w:top w:val="single" w:sz="8" w:color="0033A0"/>
              <w:bottom w:val="single" w:sz="8" w:color="0033A0"/>
            </w:tcBorders>
            <w:shd w:val="clear" w:color="auto" w:fill="2D53A6"/>
          </w:tcPr>
          <w:p>
            <w:pPr>
              <w:spacing w:after="0"/>
              <w:rPr>
                <w:sz w:val="19"/>
                <w:szCs w:val="19"/>
                <w:color w:val="auto"/>
              </w:rPr>
            </w:pPr>
          </w:p>
        </w:tc>
        <w:tc>
          <w:tcPr>
            <w:tcW w:w="120" w:type="dxa"/>
            <w:vAlign w:val="bottom"/>
            <w:tcBorders>
              <w:top w:val="single" w:sz="8" w:color="0033A0"/>
              <w:bottom w:val="single" w:sz="8" w:color="0033A0"/>
              <w:right w:val="single" w:sz="8" w:color="0033A0"/>
            </w:tcBorders>
            <w:shd w:val="clear" w:color="auto" w:fill="2D53A6"/>
          </w:tcPr>
          <w:p>
            <w:pPr>
              <w:spacing w:after="0"/>
              <w:rPr>
                <w:sz w:val="19"/>
                <w:szCs w:val="19"/>
                <w:color w:val="auto"/>
              </w:rPr>
            </w:pPr>
          </w:p>
        </w:tc>
        <w:tc>
          <w:tcPr>
            <w:tcW w:w="400" w:type="dxa"/>
            <w:vAlign w:val="bottom"/>
            <w:tcBorders>
              <w:top w:val="single" w:sz="8" w:color="0033A0"/>
              <w:bottom w:val="single" w:sz="8" w:color="0033A0"/>
            </w:tcBorders>
            <w:shd w:val="clear" w:color="auto" w:fill="2D53A6"/>
          </w:tcPr>
          <w:p>
            <w:pPr>
              <w:spacing w:after="0"/>
              <w:rPr>
                <w:sz w:val="19"/>
                <w:szCs w:val="19"/>
                <w:color w:val="auto"/>
              </w:rPr>
            </w:pPr>
          </w:p>
        </w:tc>
        <w:tc>
          <w:tcPr>
            <w:tcW w:w="660" w:type="dxa"/>
            <w:vAlign w:val="bottom"/>
            <w:tcBorders>
              <w:top w:val="single" w:sz="8" w:color="0033A0"/>
              <w:bottom w:val="single" w:sz="8" w:color="0033A0"/>
            </w:tcBorders>
            <w:shd w:val="clear" w:color="auto" w:fill="2D53A6"/>
          </w:tcPr>
          <w:p>
            <w:pPr>
              <w:jc w:val="right"/>
              <w:spacing w:after="0"/>
              <w:rPr>
                <w:sz w:val="20"/>
                <w:szCs w:val="20"/>
                <w:color w:val="auto"/>
              </w:rPr>
            </w:pPr>
            <w:r>
              <w:rPr>
                <w:rFonts w:ascii="Arial" w:cs="Arial" w:eastAsia="Arial" w:hAnsi="Arial"/>
                <w:sz w:val="20"/>
                <w:szCs w:val="20"/>
                <w:b w:val="1"/>
                <w:bCs w:val="1"/>
                <w:color w:val="FFFFFF"/>
              </w:rPr>
              <w:t>2023</w:t>
            </w:r>
          </w:p>
        </w:tc>
        <w:tc>
          <w:tcPr>
            <w:tcW w:w="160" w:type="dxa"/>
            <w:vAlign w:val="bottom"/>
            <w:tcBorders>
              <w:top w:val="single" w:sz="8" w:color="0033A0"/>
              <w:bottom w:val="single" w:sz="8" w:color="0033A0"/>
            </w:tcBorders>
            <w:shd w:val="clear" w:color="auto" w:fill="2D53A6"/>
          </w:tcPr>
          <w:p>
            <w:pPr>
              <w:spacing w:after="0"/>
              <w:rPr>
                <w:sz w:val="19"/>
                <w:szCs w:val="19"/>
                <w:color w:val="auto"/>
              </w:rPr>
            </w:pPr>
          </w:p>
        </w:tc>
        <w:tc>
          <w:tcPr>
            <w:tcW w:w="340" w:type="dxa"/>
            <w:vAlign w:val="bottom"/>
            <w:tcBorders>
              <w:top w:val="single" w:sz="8" w:color="0033A0"/>
              <w:bottom w:val="single" w:sz="8" w:color="0033A0"/>
            </w:tcBorders>
            <w:shd w:val="clear" w:color="auto" w:fill="2D53A6"/>
          </w:tcPr>
          <w:p>
            <w:pPr>
              <w:spacing w:after="0"/>
              <w:rPr>
                <w:sz w:val="19"/>
                <w:szCs w:val="19"/>
                <w:color w:val="auto"/>
              </w:rPr>
            </w:pPr>
          </w:p>
        </w:tc>
        <w:tc>
          <w:tcPr>
            <w:tcW w:w="100" w:type="dxa"/>
            <w:vAlign w:val="bottom"/>
            <w:tcBorders>
              <w:top w:val="single" w:sz="8" w:color="0033A0"/>
              <w:bottom w:val="single" w:sz="8" w:color="0033A0"/>
            </w:tcBorders>
            <w:shd w:val="clear" w:color="auto" w:fill="2D53A6"/>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80" w:type="dxa"/>
            <w:vAlign w:val="bottom"/>
            <w:tcBorders>
              <w:bottom w:val="single" w:sz="8" w:color="0033A0"/>
              <w:right w:val="single" w:sz="8" w:color="0033A0"/>
            </w:tcBorders>
          </w:tcPr>
          <w:p>
            <w:pPr>
              <w:spacing w:after="0" w:line="209" w:lineRule="exact"/>
              <w:rPr>
                <w:sz w:val="20"/>
                <w:szCs w:val="20"/>
                <w:color w:val="auto"/>
              </w:rPr>
            </w:pPr>
            <w:r>
              <w:rPr>
                <w:rFonts w:ascii="Arial" w:cs="Arial" w:eastAsia="Arial" w:hAnsi="Arial"/>
                <w:sz w:val="20"/>
                <w:szCs w:val="20"/>
                <w:color w:val="auto"/>
              </w:rPr>
              <w:t xml:space="preserve">Audit Fees </w:t>
            </w:r>
            <w:r>
              <w:rPr>
                <w:rFonts w:ascii="Arial" w:cs="Arial" w:eastAsia="Arial" w:hAnsi="Arial"/>
                <w:sz w:val="16"/>
                <w:szCs w:val="16"/>
                <w:color w:val="auto"/>
              </w:rPr>
              <w:t>(1)</w:t>
            </w:r>
          </w:p>
        </w:tc>
        <w:tc>
          <w:tcPr>
            <w:tcW w:w="420" w:type="dxa"/>
            <w:vAlign w:val="bottom"/>
            <w:tcBorders>
              <w:bottom w:val="single" w:sz="8" w:color="0033A0"/>
            </w:tcBorders>
          </w:tcPr>
          <w:p>
            <w:pPr>
              <w:jc w:val="right"/>
              <w:ind w:right="81"/>
              <w:spacing w:after="0" w:line="209"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0033A0"/>
            </w:tcBorders>
            <w:gridSpan w:val="3"/>
          </w:tcPr>
          <w:p>
            <w:pPr>
              <w:jc w:val="right"/>
              <w:spacing w:after="0" w:line="209" w:lineRule="exact"/>
              <w:rPr>
                <w:sz w:val="20"/>
                <w:szCs w:val="20"/>
                <w:color w:val="auto"/>
              </w:rPr>
            </w:pPr>
            <w:r>
              <w:rPr>
                <w:rFonts w:ascii="Arial" w:cs="Arial" w:eastAsia="Arial" w:hAnsi="Arial"/>
                <w:sz w:val="20"/>
                <w:szCs w:val="20"/>
                <w:color w:val="auto"/>
              </w:rPr>
              <w:t>2,460</w:t>
            </w:r>
          </w:p>
        </w:tc>
        <w:tc>
          <w:tcPr>
            <w:tcW w:w="120" w:type="dxa"/>
            <w:vAlign w:val="bottom"/>
            <w:tcBorders>
              <w:bottom w:val="single" w:sz="8" w:color="0033A0"/>
              <w:right w:val="single" w:sz="8" w:color="0033A0"/>
            </w:tcBorders>
          </w:tcPr>
          <w:p>
            <w:pPr>
              <w:spacing w:after="0"/>
              <w:rPr>
                <w:sz w:val="18"/>
                <w:szCs w:val="18"/>
                <w:color w:val="auto"/>
              </w:rPr>
            </w:pPr>
          </w:p>
        </w:tc>
        <w:tc>
          <w:tcPr>
            <w:tcW w:w="400" w:type="dxa"/>
            <w:vAlign w:val="bottom"/>
            <w:tcBorders>
              <w:bottom w:val="single" w:sz="8" w:color="0033A0"/>
            </w:tcBorders>
          </w:tcPr>
          <w:p>
            <w:pPr>
              <w:jc w:val="right"/>
              <w:ind w:right="101"/>
              <w:spacing w:after="0" w:line="209"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0033A0"/>
            </w:tcBorders>
            <w:gridSpan w:val="4"/>
          </w:tcPr>
          <w:p>
            <w:pPr>
              <w:jc w:val="right"/>
              <w:ind w:right="100"/>
              <w:spacing w:after="0" w:line="209" w:lineRule="exact"/>
              <w:rPr>
                <w:sz w:val="20"/>
                <w:szCs w:val="20"/>
                <w:color w:val="auto"/>
              </w:rPr>
            </w:pPr>
            <w:r>
              <w:rPr>
                <w:rFonts w:ascii="Arial" w:cs="Arial" w:eastAsia="Arial" w:hAnsi="Arial"/>
                <w:sz w:val="20"/>
                <w:szCs w:val="20"/>
                <w:color w:val="auto"/>
              </w:rPr>
              <w:t>2,545</w:t>
            </w:r>
          </w:p>
        </w:tc>
        <w:tc>
          <w:tcPr>
            <w:tcW w:w="0" w:type="dxa"/>
            <w:vAlign w:val="bottom"/>
          </w:tcPr>
          <w:p>
            <w:pPr>
              <w:spacing w:after="0"/>
              <w:rPr>
                <w:sz w:val="1"/>
                <w:szCs w:val="1"/>
                <w:color w:val="auto"/>
              </w:rPr>
            </w:pPr>
          </w:p>
        </w:tc>
      </w:tr>
      <w:tr>
        <w:trPr>
          <w:trHeight w:val="210"/>
        </w:trPr>
        <w:tc>
          <w:tcPr>
            <w:tcW w:w="7880" w:type="dxa"/>
            <w:vAlign w:val="bottom"/>
            <w:tcBorders>
              <w:bottom w:val="single" w:sz="8" w:color="0033A0"/>
              <w:right w:val="single" w:sz="8" w:color="0033A0"/>
            </w:tcBorders>
          </w:tcPr>
          <w:p>
            <w:pPr>
              <w:spacing w:after="0" w:line="209" w:lineRule="exact"/>
              <w:rPr>
                <w:sz w:val="20"/>
                <w:szCs w:val="20"/>
                <w:color w:val="auto"/>
              </w:rPr>
            </w:pPr>
            <w:r>
              <w:rPr>
                <w:rFonts w:ascii="Arial" w:cs="Arial" w:eastAsia="Arial" w:hAnsi="Arial"/>
                <w:sz w:val="20"/>
                <w:szCs w:val="20"/>
                <w:color w:val="auto"/>
              </w:rPr>
              <w:t xml:space="preserve">Audit-Related Fees </w:t>
            </w:r>
            <w:r>
              <w:rPr>
                <w:rFonts w:ascii="Arial" w:cs="Arial" w:eastAsia="Arial" w:hAnsi="Arial"/>
                <w:sz w:val="16"/>
                <w:szCs w:val="16"/>
                <w:color w:val="auto"/>
              </w:rPr>
              <w:t>(2)</w:t>
            </w:r>
          </w:p>
        </w:tc>
        <w:tc>
          <w:tcPr>
            <w:tcW w:w="420" w:type="dxa"/>
            <w:vAlign w:val="bottom"/>
            <w:tcBorders>
              <w:bottom w:val="single" w:sz="8" w:color="0033A0"/>
            </w:tcBorders>
          </w:tcPr>
          <w:p>
            <w:pPr>
              <w:spacing w:after="0"/>
              <w:rPr>
                <w:sz w:val="18"/>
                <w:szCs w:val="18"/>
                <w:color w:val="auto"/>
              </w:rPr>
            </w:pPr>
          </w:p>
        </w:tc>
        <w:tc>
          <w:tcPr>
            <w:tcW w:w="1160" w:type="dxa"/>
            <w:vAlign w:val="bottom"/>
            <w:tcBorders>
              <w:bottom w:val="single" w:sz="8" w:color="0033A0"/>
            </w:tcBorders>
            <w:gridSpan w:val="3"/>
          </w:tcPr>
          <w:p>
            <w:pPr>
              <w:jc w:val="right"/>
              <w:spacing w:after="0" w:line="209" w:lineRule="exact"/>
              <w:rPr>
                <w:sz w:val="20"/>
                <w:szCs w:val="20"/>
                <w:color w:val="auto"/>
              </w:rPr>
            </w:pPr>
            <w:r>
              <w:rPr>
                <w:rFonts w:ascii="Arial" w:cs="Arial" w:eastAsia="Arial" w:hAnsi="Arial"/>
                <w:sz w:val="20"/>
                <w:szCs w:val="20"/>
                <w:color w:val="auto"/>
              </w:rPr>
              <w:t>19</w:t>
            </w:r>
          </w:p>
        </w:tc>
        <w:tc>
          <w:tcPr>
            <w:tcW w:w="120" w:type="dxa"/>
            <w:vAlign w:val="bottom"/>
            <w:tcBorders>
              <w:bottom w:val="single" w:sz="8" w:color="0033A0"/>
              <w:right w:val="single" w:sz="8" w:color="0033A0"/>
            </w:tcBorders>
          </w:tcPr>
          <w:p>
            <w:pPr>
              <w:spacing w:after="0"/>
              <w:rPr>
                <w:sz w:val="18"/>
                <w:szCs w:val="18"/>
                <w:color w:val="auto"/>
              </w:rPr>
            </w:pPr>
          </w:p>
        </w:tc>
        <w:tc>
          <w:tcPr>
            <w:tcW w:w="400" w:type="dxa"/>
            <w:vAlign w:val="bottom"/>
            <w:tcBorders>
              <w:bottom w:val="single" w:sz="8" w:color="0033A0"/>
            </w:tcBorders>
          </w:tcPr>
          <w:p>
            <w:pPr>
              <w:spacing w:after="0"/>
              <w:rPr>
                <w:sz w:val="18"/>
                <w:szCs w:val="18"/>
                <w:color w:val="auto"/>
              </w:rPr>
            </w:pPr>
          </w:p>
        </w:tc>
        <w:tc>
          <w:tcPr>
            <w:tcW w:w="1260" w:type="dxa"/>
            <w:vAlign w:val="bottom"/>
            <w:tcBorders>
              <w:bottom w:val="single" w:sz="8" w:color="0033A0"/>
            </w:tcBorders>
            <w:gridSpan w:val="4"/>
          </w:tcPr>
          <w:p>
            <w:pPr>
              <w:jc w:val="right"/>
              <w:ind w:right="100"/>
              <w:spacing w:after="0" w:line="209" w:lineRule="exact"/>
              <w:rPr>
                <w:sz w:val="20"/>
                <w:szCs w:val="20"/>
                <w:color w:val="auto"/>
              </w:rPr>
            </w:pPr>
            <w:r>
              <w:rPr>
                <w:rFonts w:ascii="Arial" w:cs="Arial" w:eastAsia="Arial" w:hAnsi="Arial"/>
                <w:sz w:val="20"/>
                <w:szCs w:val="20"/>
                <w:color w:val="auto"/>
              </w:rPr>
              <w:t>356</w:t>
            </w:r>
          </w:p>
        </w:tc>
        <w:tc>
          <w:tcPr>
            <w:tcW w:w="0" w:type="dxa"/>
            <w:vAlign w:val="bottom"/>
          </w:tcPr>
          <w:p>
            <w:pPr>
              <w:spacing w:after="0"/>
              <w:rPr>
                <w:sz w:val="1"/>
                <w:szCs w:val="1"/>
                <w:color w:val="auto"/>
              </w:rPr>
            </w:pPr>
          </w:p>
        </w:tc>
      </w:tr>
      <w:tr>
        <w:trPr>
          <w:trHeight w:val="404"/>
        </w:trPr>
        <w:tc>
          <w:tcPr>
            <w:tcW w:w="7880" w:type="dxa"/>
            <w:vAlign w:val="bottom"/>
            <w:tcBorders>
              <w:right w:val="single" w:sz="8" w:color="0033A0"/>
            </w:tcBorders>
          </w:tcPr>
          <w:p>
            <w:pPr>
              <w:spacing w:after="0"/>
              <w:rPr>
                <w:sz w:val="20"/>
                <w:szCs w:val="20"/>
                <w:color w:val="auto"/>
              </w:rPr>
            </w:pPr>
            <w:r>
              <w:rPr>
                <w:rFonts w:ascii="Arial" w:cs="Arial" w:eastAsia="Arial" w:hAnsi="Arial"/>
                <w:sz w:val="20"/>
                <w:szCs w:val="20"/>
                <w:color w:val="auto"/>
              </w:rPr>
              <w:t>Tax Fees:</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right w:val="single" w:sz="8" w:color="0033A0"/>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80" w:type="dxa"/>
            <w:vAlign w:val="bottom"/>
            <w:tcBorders>
              <w:right w:val="single" w:sz="8" w:color="0033A0"/>
            </w:tcBorders>
          </w:tcPr>
          <w:p>
            <w:pPr>
              <w:ind w:left="180"/>
              <w:spacing w:after="0" w:line="216" w:lineRule="exact"/>
              <w:rPr>
                <w:sz w:val="20"/>
                <w:szCs w:val="20"/>
                <w:color w:val="auto"/>
              </w:rPr>
            </w:pPr>
            <w:r>
              <w:rPr>
                <w:rFonts w:ascii="Arial" w:cs="Arial" w:eastAsia="Arial" w:hAnsi="Arial"/>
                <w:sz w:val="20"/>
                <w:szCs w:val="20"/>
                <w:color w:val="auto"/>
              </w:rPr>
              <w:t xml:space="preserve">Tax Compliance </w:t>
            </w:r>
            <w:r>
              <w:rPr>
                <w:rFonts w:ascii="Arial" w:cs="Arial" w:eastAsia="Arial" w:hAnsi="Arial"/>
                <w:sz w:val="16"/>
                <w:szCs w:val="16"/>
                <w:color w:val="auto"/>
              </w:rPr>
              <w:t>(3)</w:t>
            </w:r>
          </w:p>
        </w:tc>
        <w:tc>
          <w:tcPr>
            <w:tcW w:w="420" w:type="dxa"/>
            <w:vAlign w:val="bottom"/>
          </w:tcPr>
          <w:p>
            <w:pPr>
              <w:spacing w:after="0"/>
              <w:rPr>
                <w:sz w:val="18"/>
                <w:szCs w:val="18"/>
                <w:color w:val="auto"/>
              </w:rPr>
            </w:pPr>
          </w:p>
        </w:tc>
        <w:tc>
          <w:tcPr>
            <w:tcW w:w="1160" w:type="dxa"/>
            <w:vAlign w:val="bottom"/>
            <w:gridSpan w:val="3"/>
          </w:tcPr>
          <w:p>
            <w:pPr>
              <w:jc w:val="right"/>
              <w:spacing w:after="0" w:line="216" w:lineRule="exact"/>
              <w:rPr>
                <w:sz w:val="20"/>
                <w:szCs w:val="20"/>
                <w:color w:val="auto"/>
              </w:rPr>
            </w:pPr>
            <w:r>
              <w:rPr>
                <w:rFonts w:ascii="Arial" w:cs="Arial" w:eastAsia="Arial" w:hAnsi="Arial"/>
                <w:sz w:val="20"/>
                <w:szCs w:val="20"/>
                <w:color w:val="auto"/>
              </w:rPr>
              <w:t>268</w:t>
            </w:r>
          </w:p>
        </w:tc>
        <w:tc>
          <w:tcPr>
            <w:tcW w:w="120" w:type="dxa"/>
            <w:vAlign w:val="bottom"/>
            <w:tcBorders>
              <w:right w:val="single" w:sz="8" w:color="0033A0"/>
            </w:tcBorders>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4"/>
          </w:tcPr>
          <w:p>
            <w:pPr>
              <w:jc w:val="right"/>
              <w:ind w:right="100"/>
              <w:spacing w:after="0" w:line="216" w:lineRule="exact"/>
              <w:rPr>
                <w:sz w:val="20"/>
                <w:szCs w:val="20"/>
                <w:color w:val="auto"/>
              </w:rPr>
            </w:pPr>
            <w:r>
              <w:rPr>
                <w:rFonts w:ascii="Arial" w:cs="Arial" w:eastAsia="Arial" w:hAnsi="Arial"/>
                <w:sz w:val="20"/>
                <w:szCs w:val="20"/>
                <w:color w:val="auto"/>
              </w:rPr>
              <w:t>227</w:t>
            </w:r>
          </w:p>
        </w:tc>
        <w:tc>
          <w:tcPr>
            <w:tcW w:w="0" w:type="dxa"/>
            <w:vAlign w:val="bottom"/>
          </w:tcPr>
          <w:p>
            <w:pPr>
              <w:spacing w:after="0"/>
              <w:rPr>
                <w:sz w:val="1"/>
                <w:szCs w:val="1"/>
                <w:color w:val="auto"/>
              </w:rPr>
            </w:pPr>
          </w:p>
        </w:tc>
      </w:tr>
      <w:tr>
        <w:trPr>
          <w:trHeight w:val="211"/>
        </w:trPr>
        <w:tc>
          <w:tcPr>
            <w:tcW w:w="7880" w:type="dxa"/>
            <w:vAlign w:val="bottom"/>
            <w:tcBorders>
              <w:right w:val="single" w:sz="8" w:color="0033A0"/>
            </w:tcBorders>
          </w:tcPr>
          <w:p>
            <w:pPr>
              <w:ind w:left="180"/>
              <w:spacing w:after="0" w:line="210" w:lineRule="exact"/>
              <w:rPr>
                <w:sz w:val="20"/>
                <w:szCs w:val="20"/>
                <w:color w:val="auto"/>
              </w:rPr>
            </w:pPr>
            <w:r>
              <w:rPr>
                <w:rFonts w:ascii="Arial" w:cs="Arial" w:eastAsia="Arial" w:hAnsi="Arial"/>
                <w:sz w:val="20"/>
                <w:szCs w:val="20"/>
                <w:color w:val="auto"/>
              </w:rPr>
              <w:t xml:space="preserve">Tax Planning and Advice </w:t>
            </w:r>
            <w:r>
              <w:rPr>
                <w:rFonts w:ascii="Arial" w:cs="Arial" w:eastAsia="Arial" w:hAnsi="Arial"/>
                <w:sz w:val="16"/>
                <w:szCs w:val="16"/>
                <w:color w:val="auto"/>
              </w:rPr>
              <w:t>(4)</w:t>
            </w:r>
          </w:p>
        </w:tc>
        <w:tc>
          <w:tcPr>
            <w:tcW w:w="420" w:type="dxa"/>
            <w:vAlign w:val="bottom"/>
          </w:tcPr>
          <w:p>
            <w:pPr>
              <w:spacing w:after="0"/>
              <w:rPr>
                <w:sz w:val="18"/>
                <w:szCs w:val="18"/>
                <w:color w:val="auto"/>
              </w:rPr>
            </w:pPr>
          </w:p>
        </w:tc>
        <w:tc>
          <w:tcPr>
            <w:tcW w:w="1160" w:type="dxa"/>
            <w:vAlign w:val="bottom"/>
            <w:gridSpan w:val="3"/>
          </w:tcPr>
          <w:p>
            <w:pPr>
              <w:jc w:val="right"/>
              <w:spacing w:after="0" w:line="210" w:lineRule="exact"/>
              <w:rPr>
                <w:sz w:val="20"/>
                <w:szCs w:val="20"/>
                <w:color w:val="auto"/>
              </w:rPr>
            </w:pPr>
            <w:r>
              <w:rPr>
                <w:rFonts w:ascii="Arial" w:cs="Arial" w:eastAsia="Arial" w:hAnsi="Arial"/>
                <w:sz w:val="20"/>
                <w:szCs w:val="20"/>
                <w:color w:val="auto"/>
              </w:rPr>
              <w:t>113</w:t>
            </w:r>
          </w:p>
        </w:tc>
        <w:tc>
          <w:tcPr>
            <w:tcW w:w="120" w:type="dxa"/>
            <w:vAlign w:val="bottom"/>
            <w:tcBorders>
              <w:right w:val="single" w:sz="8" w:color="0033A0"/>
            </w:tcBorders>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4"/>
          </w:tcPr>
          <w:p>
            <w:pPr>
              <w:jc w:val="right"/>
              <w:ind w:right="100"/>
              <w:spacing w:after="0" w:line="210" w:lineRule="exact"/>
              <w:rPr>
                <w:sz w:val="20"/>
                <w:szCs w:val="20"/>
                <w:color w:val="auto"/>
              </w:rPr>
            </w:pPr>
            <w:r>
              <w:rPr>
                <w:rFonts w:ascii="Arial" w:cs="Arial" w:eastAsia="Arial" w:hAnsi="Arial"/>
                <w:sz w:val="20"/>
                <w:szCs w:val="20"/>
                <w:color w:val="auto"/>
              </w:rPr>
              <w:t>382</w:t>
            </w:r>
          </w:p>
        </w:tc>
        <w:tc>
          <w:tcPr>
            <w:tcW w:w="0" w:type="dxa"/>
            <w:vAlign w:val="bottom"/>
          </w:tcPr>
          <w:p>
            <w:pPr>
              <w:spacing w:after="0"/>
              <w:rPr>
                <w:sz w:val="1"/>
                <w:szCs w:val="1"/>
                <w:color w:val="auto"/>
              </w:rPr>
            </w:pPr>
          </w:p>
        </w:tc>
      </w:tr>
      <w:tr>
        <w:trPr>
          <w:trHeight w:val="255"/>
        </w:trPr>
        <w:tc>
          <w:tcPr>
            <w:tcW w:w="7880" w:type="dxa"/>
            <w:vAlign w:val="bottom"/>
            <w:tcBorders>
              <w:right w:val="single" w:sz="8" w:color="0033A0"/>
            </w:tcBorders>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381</w:t>
            </w:r>
          </w:p>
        </w:tc>
        <w:tc>
          <w:tcPr>
            <w:tcW w:w="120" w:type="dxa"/>
            <w:vAlign w:val="bottom"/>
            <w:tcBorders>
              <w:right w:val="single" w:sz="8" w:color="0033A0"/>
            </w:tcBorders>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95"/>
              </w:rPr>
              <w:t>609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7880" w:type="dxa"/>
            <w:vAlign w:val="bottom"/>
            <w:tcBorders>
              <w:right w:val="single" w:sz="8" w:color="0033A0"/>
            </w:tcBorders>
            <w:vMerge w:val="restart"/>
          </w:tcPr>
          <w:p>
            <w:pPr>
              <w:spacing w:after="0"/>
              <w:rPr>
                <w:sz w:val="20"/>
                <w:szCs w:val="20"/>
                <w:color w:val="auto"/>
              </w:rPr>
            </w:pPr>
            <w:r>
              <w:rPr>
                <w:rFonts w:ascii="Arial" w:cs="Arial" w:eastAsia="Arial" w:hAnsi="Arial"/>
                <w:sz w:val="20"/>
                <w:szCs w:val="20"/>
                <w:color w:val="auto"/>
              </w:rPr>
              <w:t>All Other Fees</w:t>
            </w:r>
          </w:p>
        </w:tc>
        <w:tc>
          <w:tcPr>
            <w:tcW w:w="420" w:type="dxa"/>
            <w:vAlign w:val="bottom"/>
            <w:tcBorders>
              <w:bottom w:val="single" w:sz="8" w:color="0033A0"/>
            </w:tcBorders>
          </w:tcPr>
          <w:p>
            <w:pPr>
              <w:spacing w:after="0"/>
              <w:rPr>
                <w:sz w:val="16"/>
                <w:szCs w:val="16"/>
                <w:color w:val="auto"/>
              </w:rPr>
            </w:pPr>
          </w:p>
        </w:tc>
        <w:tc>
          <w:tcPr>
            <w:tcW w:w="660" w:type="dxa"/>
            <w:vAlign w:val="bottom"/>
            <w:tcBorders>
              <w:bottom w:val="single" w:sz="8" w:color="0033A0"/>
            </w:tcBorders>
          </w:tcPr>
          <w:p>
            <w:pPr>
              <w:spacing w:after="0"/>
              <w:rPr>
                <w:sz w:val="16"/>
                <w:szCs w:val="16"/>
                <w:color w:val="auto"/>
              </w:rPr>
            </w:pPr>
          </w:p>
        </w:tc>
        <w:tc>
          <w:tcPr>
            <w:tcW w:w="180" w:type="dxa"/>
            <w:vAlign w:val="bottom"/>
            <w:tcBorders>
              <w:bottom w:val="single" w:sz="8" w:color="0033A0"/>
            </w:tcBorders>
          </w:tcPr>
          <w:p>
            <w:pPr>
              <w:spacing w:after="0"/>
              <w:rPr>
                <w:sz w:val="16"/>
                <w:szCs w:val="16"/>
                <w:color w:val="auto"/>
              </w:rPr>
            </w:pPr>
          </w:p>
        </w:tc>
        <w:tc>
          <w:tcPr>
            <w:tcW w:w="320" w:type="dxa"/>
            <w:vAlign w:val="bottom"/>
            <w:tcBorders>
              <w:bottom w:val="single" w:sz="8" w:color="0033A0"/>
            </w:tcBorders>
          </w:tcPr>
          <w:p>
            <w:pPr>
              <w:spacing w:after="0"/>
              <w:rPr>
                <w:sz w:val="16"/>
                <w:szCs w:val="16"/>
                <w:color w:val="auto"/>
              </w:rPr>
            </w:pPr>
          </w:p>
        </w:tc>
        <w:tc>
          <w:tcPr>
            <w:tcW w:w="120" w:type="dxa"/>
            <w:vAlign w:val="bottom"/>
            <w:tcBorders>
              <w:bottom w:val="single" w:sz="8" w:color="0033A0"/>
              <w:right w:val="single" w:sz="8" w:color="0033A0"/>
            </w:tcBorders>
          </w:tcPr>
          <w:p>
            <w:pPr>
              <w:spacing w:after="0"/>
              <w:rPr>
                <w:sz w:val="16"/>
                <w:szCs w:val="16"/>
                <w:color w:val="auto"/>
              </w:rPr>
            </w:pPr>
          </w:p>
        </w:tc>
        <w:tc>
          <w:tcPr>
            <w:tcW w:w="400" w:type="dxa"/>
            <w:vAlign w:val="bottom"/>
            <w:tcBorders>
              <w:bottom w:val="single" w:sz="8" w:color="0033A0"/>
            </w:tcBorders>
          </w:tcPr>
          <w:p>
            <w:pPr>
              <w:spacing w:after="0"/>
              <w:rPr>
                <w:sz w:val="16"/>
                <w:szCs w:val="16"/>
                <w:color w:val="auto"/>
              </w:rPr>
            </w:pPr>
          </w:p>
        </w:tc>
        <w:tc>
          <w:tcPr>
            <w:tcW w:w="660" w:type="dxa"/>
            <w:vAlign w:val="bottom"/>
            <w:tcBorders>
              <w:bottom w:val="single" w:sz="8" w:color="0033A0"/>
            </w:tcBorders>
          </w:tcPr>
          <w:p>
            <w:pPr>
              <w:spacing w:after="0"/>
              <w:rPr>
                <w:sz w:val="16"/>
                <w:szCs w:val="16"/>
                <w:color w:val="auto"/>
              </w:rPr>
            </w:pPr>
          </w:p>
        </w:tc>
        <w:tc>
          <w:tcPr>
            <w:tcW w:w="160" w:type="dxa"/>
            <w:vAlign w:val="bottom"/>
            <w:tcBorders>
              <w:bottom w:val="single" w:sz="8" w:color="0033A0"/>
            </w:tcBorders>
          </w:tcPr>
          <w:p>
            <w:pPr>
              <w:spacing w:after="0"/>
              <w:rPr>
                <w:sz w:val="16"/>
                <w:szCs w:val="16"/>
                <w:color w:val="auto"/>
              </w:rPr>
            </w:pPr>
          </w:p>
        </w:tc>
        <w:tc>
          <w:tcPr>
            <w:tcW w:w="340" w:type="dxa"/>
            <w:vAlign w:val="bottom"/>
            <w:tcBorders>
              <w:bottom w:val="single" w:sz="8" w:color="0033A0"/>
            </w:tcBorders>
          </w:tcPr>
          <w:p>
            <w:pPr>
              <w:spacing w:after="0"/>
              <w:rPr>
                <w:sz w:val="16"/>
                <w:szCs w:val="16"/>
                <w:color w:val="auto"/>
              </w:rPr>
            </w:pPr>
          </w:p>
        </w:tc>
        <w:tc>
          <w:tcPr>
            <w:tcW w:w="100" w:type="dxa"/>
            <w:vAlign w:val="bottom"/>
            <w:tcBorders>
              <w:bottom w:val="single" w:sz="8" w:color="0033A0"/>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880" w:type="dxa"/>
            <w:vAlign w:val="bottom"/>
            <w:tcBorders>
              <w:right w:val="single" w:sz="8" w:color="0033A0"/>
            </w:tcBorders>
            <w:vMerge w:val="continue"/>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right w:val="single" w:sz="8" w:color="0033A0"/>
            </w:tcBorders>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71"/>
        </w:trPr>
        <w:tc>
          <w:tcPr>
            <w:tcW w:w="7880" w:type="dxa"/>
            <w:vAlign w:val="bottom"/>
            <w:tcBorders>
              <w:bottom w:val="single" w:sz="8" w:color="0033A0"/>
              <w:right w:val="single" w:sz="8" w:color="0033A0"/>
            </w:tcBorders>
          </w:tcPr>
          <w:p>
            <w:pPr>
              <w:spacing w:after="0"/>
              <w:rPr>
                <w:sz w:val="14"/>
                <w:szCs w:val="14"/>
                <w:color w:val="auto"/>
              </w:rPr>
            </w:pPr>
          </w:p>
        </w:tc>
        <w:tc>
          <w:tcPr>
            <w:tcW w:w="420" w:type="dxa"/>
            <w:vAlign w:val="bottom"/>
            <w:tcBorders>
              <w:bottom w:val="single" w:sz="8" w:color="0033A0"/>
            </w:tcBorders>
          </w:tcPr>
          <w:p>
            <w:pPr>
              <w:spacing w:after="0"/>
              <w:rPr>
                <w:sz w:val="14"/>
                <w:szCs w:val="14"/>
                <w:color w:val="auto"/>
              </w:rPr>
            </w:pPr>
          </w:p>
        </w:tc>
        <w:tc>
          <w:tcPr>
            <w:tcW w:w="660" w:type="dxa"/>
            <w:vAlign w:val="bottom"/>
            <w:tcBorders>
              <w:bottom w:val="single" w:sz="8" w:color="0033A0"/>
            </w:tcBorders>
          </w:tcPr>
          <w:p>
            <w:pPr>
              <w:spacing w:after="0"/>
              <w:rPr>
                <w:sz w:val="14"/>
                <w:szCs w:val="14"/>
                <w:color w:val="auto"/>
              </w:rPr>
            </w:pPr>
          </w:p>
        </w:tc>
        <w:tc>
          <w:tcPr>
            <w:tcW w:w="180" w:type="dxa"/>
            <w:vAlign w:val="bottom"/>
            <w:tcBorders>
              <w:bottom w:val="single" w:sz="8" w:color="0033A0"/>
            </w:tcBorders>
          </w:tcPr>
          <w:p>
            <w:pPr>
              <w:spacing w:after="0"/>
              <w:rPr>
                <w:sz w:val="14"/>
                <w:szCs w:val="14"/>
                <w:color w:val="auto"/>
              </w:rPr>
            </w:pPr>
          </w:p>
        </w:tc>
        <w:tc>
          <w:tcPr>
            <w:tcW w:w="320" w:type="dxa"/>
            <w:vAlign w:val="bottom"/>
            <w:tcBorders>
              <w:bottom w:val="single" w:sz="8" w:color="0033A0"/>
            </w:tcBorders>
          </w:tcPr>
          <w:p>
            <w:pPr>
              <w:spacing w:after="0"/>
              <w:rPr>
                <w:sz w:val="14"/>
                <w:szCs w:val="14"/>
                <w:color w:val="auto"/>
              </w:rPr>
            </w:pPr>
          </w:p>
        </w:tc>
        <w:tc>
          <w:tcPr>
            <w:tcW w:w="120" w:type="dxa"/>
            <w:vAlign w:val="bottom"/>
            <w:tcBorders>
              <w:bottom w:val="single" w:sz="8" w:color="0033A0"/>
              <w:right w:val="single" w:sz="8" w:color="0033A0"/>
            </w:tcBorders>
          </w:tcPr>
          <w:p>
            <w:pPr>
              <w:spacing w:after="0"/>
              <w:rPr>
                <w:sz w:val="14"/>
                <w:szCs w:val="14"/>
                <w:color w:val="auto"/>
              </w:rPr>
            </w:pPr>
          </w:p>
        </w:tc>
        <w:tc>
          <w:tcPr>
            <w:tcW w:w="400" w:type="dxa"/>
            <w:vAlign w:val="bottom"/>
            <w:tcBorders>
              <w:bottom w:val="single" w:sz="8" w:color="0033A0"/>
            </w:tcBorders>
          </w:tcPr>
          <w:p>
            <w:pPr>
              <w:spacing w:after="0"/>
              <w:rPr>
                <w:sz w:val="14"/>
                <w:szCs w:val="14"/>
                <w:color w:val="auto"/>
              </w:rPr>
            </w:pPr>
          </w:p>
        </w:tc>
        <w:tc>
          <w:tcPr>
            <w:tcW w:w="660" w:type="dxa"/>
            <w:vAlign w:val="bottom"/>
            <w:tcBorders>
              <w:bottom w:val="single" w:sz="8" w:color="0033A0"/>
            </w:tcBorders>
          </w:tcPr>
          <w:p>
            <w:pPr>
              <w:spacing w:after="0"/>
              <w:rPr>
                <w:sz w:val="14"/>
                <w:szCs w:val="14"/>
                <w:color w:val="auto"/>
              </w:rPr>
            </w:pPr>
          </w:p>
        </w:tc>
        <w:tc>
          <w:tcPr>
            <w:tcW w:w="160" w:type="dxa"/>
            <w:vAlign w:val="bottom"/>
            <w:tcBorders>
              <w:bottom w:val="single" w:sz="8" w:color="0033A0"/>
            </w:tcBorders>
          </w:tcPr>
          <w:p>
            <w:pPr>
              <w:spacing w:after="0"/>
              <w:rPr>
                <w:sz w:val="14"/>
                <w:szCs w:val="14"/>
                <w:color w:val="auto"/>
              </w:rPr>
            </w:pPr>
          </w:p>
        </w:tc>
        <w:tc>
          <w:tcPr>
            <w:tcW w:w="340" w:type="dxa"/>
            <w:vAlign w:val="bottom"/>
            <w:tcBorders>
              <w:bottom w:val="single" w:sz="8" w:color="0033A0"/>
            </w:tcBorders>
          </w:tcPr>
          <w:p>
            <w:pPr>
              <w:spacing w:after="0"/>
              <w:rPr>
                <w:sz w:val="14"/>
                <w:szCs w:val="14"/>
                <w:color w:val="auto"/>
              </w:rPr>
            </w:pPr>
          </w:p>
        </w:tc>
        <w:tc>
          <w:tcPr>
            <w:tcW w:w="100" w:type="dxa"/>
            <w:vAlign w:val="bottom"/>
            <w:tcBorders>
              <w:bottom w:val="single" w:sz="8" w:color="0033A0"/>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880" w:type="dxa"/>
            <w:vAlign w:val="bottom"/>
            <w:tcBorders>
              <w:right w:val="single" w:sz="8" w:color="0033A0"/>
            </w:tcBorders>
          </w:tcPr>
          <w:p>
            <w:pPr>
              <w:spacing w:after="0" w:line="183" w:lineRule="exact"/>
              <w:rPr>
                <w:sz w:val="20"/>
                <w:szCs w:val="20"/>
                <w:color w:val="auto"/>
              </w:rPr>
            </w:pPr>
            <w:r>
              <w:rPr>
                <w:rFonts w:ascii="Arial" w:cs="Arial" w:eastAsia="Arial" w:hAnsi="Arial"/>
                <w:sz w:val="20"/>
                <w:szCs w:val="20"/>
                <w:color w:val="auto"/>
              </w:rPr>
              <w:t>Total</w:t>
            </w:r>
          </w:p>
        </w:tc>
        <w:tc>
          <w:tcPr>
            <w:tcW w:w="420" w:type="dxa"/>
            <w:vAlign w:val="bottom"/>
          </w:tcPr>
          <w:p>
            <w:pPr>
              <w:jc w:val="right"/>
              <w:ind w:right="81"/>
              <w:spacing w:after="0" w:line="183" w:lineRule="exact"/>
              <w:rPr>
                <w:sz w:val="20"/>
                <w:szCs w:val="20"/>
                <w:color w:val="auto"/>
              </w:rPr>
            </w:pPr>
            <w:r>
              <w:rPr>
                <w:rFonts w:ascii="Arial" w:cs="Arial" w:eastAsia="Arial" w:hAnsi="Arial"/>
                <w:sz w:val="20"/>
                <w:szCs w:val="20"/>
                <w:color w:val="auto"/>
              </w:rPr>
              <w:t>$</w:t>
            </w:r>
          </w:p>
        </w:tc>
        <w:tc>
          <w:tcPr>
            <w:tcW w:w="1160" w:type="dxa"/>
            <w:vAlign w:val="bottom"/>
            <w:gridSpan w:val="3"/>
          </w:tcPr>
          <w:p>
            <w:pPr>
              <w:jc w:val="right"/>
              <w:spacing w:after="0" w:line="183" w:lineRule="exact"/>
              <w:rPr>
                <w:sz w:val="20"/>
                <w:szCs w:val="20"/>
                <w:color w:val="auto"/>
              </w:rPr>
            </w:pPr>
            <w:r>
              <w:rPr>
                <w:rFonts w:ascii="Arial" w:cs="Arial" w:eastAsia="Arial" w:hAnsi="Arial"/>
                <w:sz w:val="20"/>
                <w:szCs w:val="20"/>
                <w:color w:val="auto"/>
              </w:rPr>
              <w:t>2,860</w:t>
            </w:r>
          </w:p>
        </w:tc>
        <w:tc>
          <w:tcPr>
            <w:tcW w:w="120" w:type="dxa"/>
            <w:vAlign w:val="bottom"/>
            <w:tcBorders>
              <w:right w:val="single" w:sz="8" w:color="0033A0"/>
            </w:tcBorders>
          </w:tcPr>
          <w:p>
            <w:pPr>
              <w:spacing w:after="0"/>
              <w:rPr>
                <w:sz w:val="15"/>
                <w:szCs w:val="15"/>
                <w:color w:val="auto"/>
              </w:rPr>
            </w:pPr>
          </w:p>
        </w:tc>
        <w:tc>
          <w:tcPr>
            <w:tcW w:w="400" w:type="dxa"/>
            <w:vAlign w:val="bottom"/>
          </w:tcPr>
          <w:p>
            <w:pPr>
              <w:jc w:val="right"/>
              <w:ind w:right="101"/>
              <w:spacing w:after="0" w:line="183" w:lineRule="exact"/>
              <w:rPr>
                <w:sz w:val="20"/>
                <w:szCs w:val="20"/>
                <w:color w:val="auto"/>
              </w:rPr>
            </w:pPr>
            <w:r>
              <w:rPr>
                <w:rFonts w:ascii="Arial" w:cs="Arial" w:eastAsia="Arial" w:hAnsi="Arial"/>
                <w:sz w:val="20"/>
                <w:szCs w:val="20"/>
                <w:color w:val="auto"/>
              </w:rPr>
              <w:t>$</w:t>
            </w:r>
          </w:p>
        </w:tc>
        <w:tc>
          <w:tcPr>
            <w:tcW w:w="1260" w:type="dxa"/>
            <w:vAlign w:val="bottom"/>
            <w:gridSpan w:val="4"/>
          </w:tcPr>
          <w:p>
            <w:pPr>
              <w:jc w:val="right"/>
              <w:ind w:right="100"/>
              <w:spacing w:after="0" w:line="183" w:lineRule="exact"/>
              <w:rPr>
                <w:sz w:val="20"/>
                <w:szCs w:val="20"/>
                <w:color w:val="auto"/>
              </w:rPr>
            </w:pPr>
            <w:r>
              <w:rPr>
                <w:rFonts w:ascii="Arial" w:cs="Arial" w:eastAsia="Arial" w:hAnsi="Arial"/>
                <w:sz w:val="20"/>
                <w:szCs w:val="20"/>
                <w:color w:val="auto"/>
              </w:rPr>
              <w:t>3,510</w:t>
            </w:r>
          </w:p>
        </w:tc>
        <w:tc>
          <w:tcPr>
            <w:tcW w:w="0" w:type="dxa"/>
            <w:vAlign w:val="bottom"/>
          </w:tcPr>
          <w:p>
            <w:pPr>
              <w:spacing w:after="0"/>
              <w:rPr>
                <w:sz w:val="1"/>
                <w:szCs w:val="1"/>
                <w:color w:val="auto"/>
              </w:rPr>
            </w:pPr>
          </w:p>
        </w:tc>
      </w:tr>
      <w:tr>
        <w:trPr>
          <w:trHeight w:val="20"/>
        </w:trPr>
        <w:tc>
          <w:tcPr>
            <w:tcW w:w="7880" w:type="dxa"/>
            <w:vAlign w:val="bottom"/>
            <w:tcBorders>
              <w:bottom w:val="single" w:sz="8" w:color="0033A0"/>
              <w:right w:val="single" w:sz="8" w:color="0033A0"/>
            </w:tcBorders>
          </w:tcPr>
          <w:p>
            <w:pPr>
              <w:spacing w:after="0" w:line="20" w:lineRule="exact"/>
              <w:rPr>
                <w:sz w:val="1"/>
                <w:szCs w:val="1"/>
                <w:color w:val="auto"/>
              </w:rPr>
            </w:pPr>
          </w:p>
        </w:tc>
        <w:tc>
          <w:tcPr>
            <w:tcW w:w="420" w:type="dxa"/>
            <w:vAlign w:val="bottom"/>
            <w:tcBorders>
              <w:bottom w:val="single" w:sz="8" w:color="0033A0"/>
            </w:tcBorders>
          </w:tcPr>
          <w:p>
            <w:pPr>
              <w:spacing w:after="0" w:line="20" w:lineRule="exact"/>
              <w:rPr>
                <w:sz w:val="1"/>
                <w:szCs w:val="1"/>
                <w:color w:val="auto"/>
              </w:rPr>
            </w:pPr>
          </w:p>
        </w:tc>
        <w:tc>
          <w:tcPr>
            <w:tcW w:w="660" w:type="dxa"/>
            <w:vAlign w:val="bottom"/>
            <w:tcBorders>
              <w:bottom w:val="single" w:sz="8" w:color="0033A0"/>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0033A0"/>
              <w:right w:val="single" w:sz="8" w:color="0033A0"/>
            </w:tcBorders>
          </w:tcPr>
          <w:p>
            <w:pPr>
              <w:spacing w:after="0" w:line="20" w:lineRule="exact"/>
              <w:rPr>
                <w:sz w:val="1"/>
                <w:szCs w:val="1"/>
                <w:color w:val="auto"/>
              </w:rPr>
            </w:pPr>
          </w:p>
        </w:tc>
        <w:tc>
          <w:tcPr>
            <w:tcW w:w="400" w:type="dxa"/>
            <w:vAlign w:val="bottom"/>
            <w:tcBorders>
              <w:bottom w:val="single" w:sz="8" w:color="0033A0"/>
            </w:tcBorders>
          </w:tcPr>
          <w:p>
            <w:pPr>
              <w:spacing w:after="0" w:line="20" w:lineRule="exact"/>
              <w:rPr>
                <w:sz w:val="1"/>
                <w:szCs w:val="1"/>
                <w:color w:val="auto"/>
              </w:rPr>
            </w:pPr>
          </w:p>
        </w:tc>
        <w:tc>
          <w:tcPr>
            <w:tcW w:w="660" w:type="dxa"/>
            <w:vAlign w:val="bottom"/>
            <w:tcBorders>
              <w:bottom w:val="single" w:sz="8" w:color="0033A0"/>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0033A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right="100" w:hanging="332"/>
        <w:spacing w:after="0" w:line="248"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Audit fees represent fees for professional services provided in connection with the audit of Cohu’s financial statements and review of Cohu’s quarterly financial statements and audit services provided in connection with other statutory or regulatory filings. In addition, audit fees include those fees related to Ernst &amp; Young LLP’s audit of the effectiveness of Cohu’s internal control over financial reporting pursuant to Section 404 of the Sarbanes-Oxley Act of 2002.</w:t>
      </w:r>
    </w:p>
    <w:p>
      <w:pPr>
        <w:ind w:left="340" w:right="240" w:hanging="332"/>
        <w:spacing w:after="0" w:line="24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Audit-related fees include accounting consultation services related to business acquisitions and divestitures and other attestation services. Audit-related fees incurred in 2024, are for due diligence related services provided in conjunction with the acquisition of Tignis, Inc. Audit-related fees incurred in 2023, are for due diligence related services provided in conjunction with the acquisitions of MCT Worldwide and Equiptest Engineering.</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Tax compliance fees consisted primarily of assistance with (i) review or preparation of Cohu’s federal, state and foreign tax returns and (ii) tax return examinations.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Tax planning and advisory fees were primarily driven by legal entity consolidation and restructuring initiatives arising from acquisitions.</w:t>
      </w:r>
    </w:p>
    <w:p>
      <w:pPr>
        <w:spacing w:after="0" w:line="180"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Audit Committee has established pre-approval policies and procedures concerning the engagement of Cohu’s independent registered public accounting firm to perform any services. These policies require that all services rendered by Cohu’s independent registered public accounting firm be pre-approved by the Audit Committee within specified, budgeted fee amounts. In addition to the approval of all audit fees in fiscal years 2024 and 2023, 100% of the non-audit fees were pre-approved by the Audit Committee.</w:t>
      </w:r>
    </w:p>
    <w:p>
      <w:pPr>
        <w:spacing w:after="0" w:line="160"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Audit Committee has delegated to the Chair of the Audit Committee the authority to pre-approve audit-related and non-audit services not prohibited by law to be performed by Cohu’s independent registered public accounting firm with associated fees up to a maximum of $10,000 for any one such service, provided that the Chair shall report any decisions to pre-approve such audit-related or non-audit services and fees to the full Audit Committee at its next regular meeting.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Relationships and Related Party Transactions</w:t>
      </w:r>
    </w:p>
    <w:p>
      <w:pPr>
        <w:spacing w:after="0" w:line="20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Board is committed to upholding high legal and ethical conduct in fulfilling its responsibilities and recognizes that related party transactions can present a heightened risk of potential or actual conflicts of interest. Accordingly, as a general matter, it is Cohu’s preference to avoid related party transactions.</w:t>
      </w:r>
    </w:p>
    <w:p>
      <w:pPr>
        <w:spacing w:after="0" w:line="155"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Since the beginning of the last fiscal year, there has not been nor are there currently proposed any transactions or a series of similar transactions to which Cohu was or is to be a party in which the amount involved exceeds $120,000 and in which any director, executive officer, holder of more than 5% of our common stock or any member of the immediate family of any of the foregoing persons had or will have a direct or indirect material interest.</w:t>
      </w:r>
    </w:p>
    <w:p>
      <w:pPr>
        <w:spacing w:after="0" w:line="160" w:lineRule="exact"/>
        <w:rPr>
          <w:sz w:val="20"/>
          <w:szCs w:val="20"/>
          <w:color w:val="auto"/>
        </w:rPr>
      </w:pPr>
    </w:p>
    <w:p>
      <w:pPr>
        <w:jc w:val="both"/>
        <w:ind w:right="140"/>
        <w:spacing w:after="0" w:line="247" w:lineRule="auto"/>
        <w:rPr>
          <w:sz w:val="20"/>
          <w:szCs w:val="20"/>
          <w:color w:val="auto"/>
        </w:rPr>
      </w:pPr>
      <w:r>
        <w:rPr>
          <w:rFonts w:ascii="Arial" w:cs="Arial" w:eastAsia="Arial" w:hAnsi="Arial"/>
          <w:sz w:val="18"/>
          <w:szCs w:val="18"/>
          <w:color w:val="auto"/>
        </w:rPr>
        <w:t>Cohu’s Audit Committee Charter requires that members of the Audit Committee, all of whom are independent directors, review and approve all related party transactions for which such approval is required under applicable law, including SEC and Nasdaq rules. Current SEC rules define a related party transaction to include any transaction, arrangement or relationship in which Cohu is a participant and in which any of the following persons has or will have a direct or indirect interest:</w:t>
      </w:r>
    </w:p>
    <w:p>
      <w:pPr>
        <w:spacing w:after="0" w:line="160"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executive officer, director or director nominee of Cohu.</w:t>
      </w:r>
    </w:p>
    <w:p>
      <w:pPr>
        <w:spacing w:after="0" w:line="13" w:lineRule="exact"/>
        <w:rPr>
          <w:rFonts w:ascii="Arial" w:cs="Arial" w:eastAsia="Arial" w:hAnsi="Arial"/>
          <w:sz w:val="18"/>
          <w:szCs w:val="18"/>
          <w:color w:val="auto"/>
        </w:rPr>
      </w:pPr>
    </w:p>
    <w:p>
      <w:pPr>
        <w:ind w:left="980" w:hanging="324"/>
        <w:spacing w:after="0" w:line="234"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person who is known to be the beneficial owner of more than 5% of Cohu’s common stock.</w:t>
      </w:r>
    </w:p>
    <w:p>
      <w:pPr>
        <w:ind w:left="980" w:right="20" w:hanging="324"/>
        <w:spacing w:after="0" w:line="234"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person who is an immediate family member (as defined under Item 404 of Regulation S-K) of an executive officer, director or director nominee or beneficial owner of more than 5% of Cohu’s common stock.</w:t>
      </w:r>
    </w:p>
    <w:p>
      <w:pPr>
        <w:spacing w:after="0" w:line="1" w:lineRule="exact"/>
        <w:rPr>
          <w:rFonts w:ascii="Arial" w:cs="Arial" w:eastAsia="Arial" w:hAnsi="Arial"/>
          <w:sz w:val="18"/>
          <w:szCs w:val="18"/>
          <w:color w:val="auto"/>
        </w:rPr>
      </w:pPr>
    </w:p>
    <w:p>
      <w:pPr>
        <w:ind w:left="980" w:right="200" w:hanging="324"/>
        <w:spacing w:after="0" w:line="242"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employed or is a partner or principal or in a similar position or in which such person, together with any other of the foregoing persons, has a 5% or greater beneficial ownership interest.</w:t>
      </w:r>
    </w:p>
    <w:p>
      <w:pPr>
        <w:spacing w:after="0" w:line="166"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In addition, the Audit Committee is responsible for reviewing and investigating any matters pertaining to the integrity of management, including conflicts of interest and adherence to Cohu’s Code of Business Conduct and Ethics. Under this Code, directors, officers and all other employees are expected to avoid any relationship, influence or activity that would cause or even appear to cause a conflict of interest. Cohu’s Corporate Governance Guidelines require a director to promptly disclose to the Board any potential or actual conflict of interest. Under these Guidelines, the Board will determine an appropriate resolution on a case-by-case basis. All directors must recuse themselves from any discussion or decision affecting their personal, business or professional interests.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All related party transactions will be disclosed in Cohu’s applicable filings with the SEC as required under SEC rules.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202"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Board is unaware of any other business to be presented for consideration at the Meeting. If, however, such other business should properly come before the Meeting, the proxies will be voted in accordance with the best judgment of the proxy holders. The shares represented by proxies received in time for the Meeting will be voted and if any choice has been specified the vote will be in accordance with such specification.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Proposals - 2026 Annual Meeting</w:t>
      </w:r>
    </w:p>
    <w:p>
      <w:pPr>
        <w:spacing w:after="0" w:line="20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Stockholders are entitled to present proposals for action, including nominations for candidates for membership on Cohu’s Board of Directors, at a forthcoming stockholders’ meeting if they comply with the requirements of the proxy rules and Cohu’s Bylaws. Any proposals intended to be presented at the 2026 Annual Meeting of Stockholders of Cohu must be received at Cohu’s offices on or before December 3, 2025 in order to be considered for inclusion in Cohu’s proxy statement and form of proxy relating to such meeting.</w:t>
      </w:r>
    </w:p>
    <w:p>
      <w:pPr>
        <w:spacing w:after="0" w:line="160"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If a stockholder intends to submit a proposal at the 2026 Annual Meeting of Stockholders of Cohu, including nominations for candidates for membership on Cohu’s Board of Directors, which proposal is not otherwise intended to be included in Cohu’s proxy statement and form of proxy relating to such Meeting, the stockholder should provide Cohu with appropriate notice no earlier than November 5, 2025 and no later than December 3, 2025. If Cohu fails to receive notice of the proposal within such timeframe, any such proposal will be considered untimely, Cohu will not be required to consider or provide any information about the nature of the proposal in its proxy statement, and the proposal will not be submitted to the stockholders for approval at the 2026 Annual Meeting of Stockholders of Cohu.</w:t>
      </w:r>
    </w:p>
    <w:p>
      <w:pPr>
        <w:spacing w:after="0" w:line="16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addition to satisfying the requirements of Cohu’s Bylaws, including the earlier notice deadlines set forth above and therein, to comply with universal proxy rules, stockholders who intend to solicit proxies in support of director nominees other than Cohu’s nominees must also provide notice that sets forth the information required by Rule 14a-19 of the Securities Exchange Act of 1934, as amended, no later than April 6, 2026.</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Report on Form 10-K</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Copies of Cohu’s Annual Report on Form 10-K for the year ended December 28, 2024, as filed with the SEC are available to stockholders without charge upon written request addressed to Investor Relations, Cohu, Inc., 12367 Crosthwaite Circle, Poway, California 92064-6817. The Annual Report on Form 10-K is also available at </w:t>
      </w:r>
      <w:r>
        <w:rPr>
          <w:rFonts w:ascii="Arial" w:cs="Arial" w:eastAsia="Arial" w:hAnsi="Arial"/>
          <w:sz w:val="18"/>
          <w:szCs w:val="18"/>
          <w:u w:val="single" w:color="auto"/>
          <w:color w:val="auto"/>
        </w:rPr>
        <w:t>www.cohu.com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55"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By Order of the Board of Directors,</w:t>
      </w:r>
    </w:p>
    <w:p>
      <w:pPr>
        <w:spacing w:after="0" w:line="198"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Emily R. Lough</w:t>
      </w:r>
    </w:p>
    <w:p>
      <w:pPr>
        <w:spacing w:after="0" w:line="1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Secretary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Poway,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April 2, 2025</w:t>
      </w:r>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2" w:right="55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36"/>
          <w:szCs w:val="36"/>
          <w:b w:val="1"/>
          <w:bCs w:val="1"/>
          <w:color w:val="FFFFFF"/>
        </w:rPr>
        <w:t>Voting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136130" cy="2870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6130" cy="28702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Proposal No. 1: Election of Directors</w:t>
      </w:r>
    </w:p>
    <w:p>
      <w:pPr>
        <w:spacing w:after="0" w:line="20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Cohu’s Amended and Restated Certificate of Incorporation divides the directors into three classes whose terms expire at successive annual meetings over a period of three years. One class of directors is elected for a term of three years at each annual meeting with the remaining directors continuing in office. At the Meeting, three (3) Class 3 directors are standing for re-election for a term expiring in 2028. The shares represented by proxies in the accompanying form will be voted by the proxy holders in accordance with the instructions given by the voting stockholders. If no specific instructions are given, however, the shares will be voted for the election of the three (3) nominees named below. Should any nominee decline or become unable to accept nomination or election, which is not anticipated, the proxies will be voted for such substitute nominee as may be designated by a majority of the Board.</w:t>
      </w:r>
    </w:p>
    <w:p>
      <w:pPr>
        <w:spacing w:after="0" w:line="17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Each of the three (3) director nominees currently serve as a member of the Board, and there is no family relationship between the nominees, other directors or any of Cohu’s officers. The following biographies describe the skills, qualities, attributes, and experience of the nominees that led our Board to determine that it is appropriate to nominate these directors. Biographies for each of our other continuing directors are also included below.</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0033A0"/>
        </w:rPr>
        <w:t>Required Vote</w:t>
      </w:r>
    </w:p>
    <w:p>
      <w:pPr>
        <w:spacing w:after="0" w:line="200"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Nominees that receive a majority of the votes cast for such nominee’s election (meaning the number of shares voted “For” a nominee must exceed the number of shares voted “Against” such nominee) will be elected as directors under Proposal No. 1. Brokers do not have discretion to vote on this proposal without your instruction. If you do not instruct your broker how to vote on this proposal, your broker will deliver a non-vote on this proposal. Abstentions and broker non-votes will have no effect on the election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0033A0"/>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4457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 xml:space="preserve">The Board of Directors unanimously recommends a vote </w:t>
      </w:r>
      <w:r>
        <w:rPr>
          <w:rFonts w:ascii="Arial" w:cs="Arial" w:eastAsia="Arial" w:hAnsi="Arial"/>
          <w:sz w:val="25"/>
          <w:szCs w:val="25"/>
          <w:color w:val="FFFFFF"/>
        </w:rPr>
        <w:t>√ “</w:t>
      </w:r>
      <w:r>
        <w:rPr>
          <w:rFonts w:ascii="Arial" w:cs="Arial" w:eastAsia="Arial" w:hAnsi="Arial"/>
          <w:sz w:val="25"/>
          <w:szCs w:val="25"/>
          <w:b w:val="1"/>
          <w:bCs w:val="1"/>
          <w:color w:val="FFFFFF"/>
        </w:rPr>
        <w:t>FOR</w:t>
      </w:r>
      <w:r>
        <w:rPr>
          <w:rFonts w:ascii="Arial" w:cs="Arial" w:eastAsia="Arial" w:hAnsi="Arial"/>
          <w:sz w:val="25"/>
          <w:szCs w:val="25"/>
          <w:color w:val="FFFFFF"/>
        </w:rPr>
        <w:t>”</w:t>
      </w:r>
      <w:r>
        <w:rPr>
          <w:rFonts w:ascii="Arial" w:cs="Arial" w:eastAsia="Arial" w:hAnsi="Arial"/>
          <w:sz w:val="25"/>
          <w:szCs w:val="25"/>
          <w:b w:val="1"/>
          <w:bCs w:val="1"/>
          <w:color w:val="FFFFFF"/>
        </w:rPr>
        <w:t xml:space="preserve"> the nominees named below.</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0033A0"/>
        </w:rPr>
        <w:t>Directors Whose Term Expires in 2028 (if elected) - Class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2623820</wp:posOffset>
            </wp:positionH>
            <wp:positionV relativeFrom="paragraph">
              <wp:posOffset>255270</wp:posOffset>
            </wp:positionV>
            <wp:extent cx="34290" cy="22796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2279650"/>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Borders>
              <w:top w:val="single" w:sz="8" w:color="2D53A6"/>
            </w:tcBorders>
            <w:shd w:val="clear" w:color="auto" w:fill="E6E6E6"/>
          </w:tcPr>
          <w:p>
            <w:pPr>
              <w:spacing w:after="0"/>
              <w:rPr>
                <w:sz w:val="20"/>
                <w:szCs w:val="20"/>
                <w:color w:val="auto"/>
              </w:rPr>
            </w:pPr>
          </w:p>
        </w:tc>
        <w:tc>
          <w:tcPr>
            <w:tcW w:w="7080" w:type="dxa"/>
            <w:vAlign w:val="bottom"/>
            <w:tcBorders>
              <w:top w:val="single" w:sz="8" w:color="2D53A6"/>
            </w:tcBorders>
          </w:tcPr>
          <w:p>
            <w:pPr>
              <w:spacing w:after="0" w:line="238" w:lineRule="exact"/>
              <w:rPr>
                <w:sz w:val="20"/>
                <w:szCs w:val="20"/>
                <w:color w:val="auto"/>
              </w:rPr>
            </w:pPr>
            <w:r>
              <w:rPr>
                <w:rFonts w:ascii="Arial" w:cs="Arial" w:eastAsia="Arial" w:hAnsi="Arial"/>
                <w:sz w:val="22"/>
                <w:szCs w:val="22"/>
                <w:color w:val="0033A0"/>
              </w:rPr>
              <w:t>Business Experience and Other Directorships</w:t>
            </w:r>
          </w:p>
        </w:tc>
        <w:tc>
          <w:tcPr>
            <w:tcW w:w="0" w:type="dxa"/>
            <w:vAlign w:val="bottom"/>
          </w:tcPr>
          <w:p>
            <w:pPr>
              <w:spacing w:after="0"/>
              <w:rPr>
                <w:sz w:val="1"/>
                <w:szCs w:val="1"/>
                <w:color w:val="auto"/>
              </w:rPr>
            </w:pPr>
          </w:p>
        </w:tc>
      </w:tr>
      <w:tr>
        <w:trPr>
          <w:trHeight w:val="203"/>
        </w:trPr>
        <w:tc>
          <w:tcPr>
            <w:tcW w:w="4160" w:type="dxa"/>
            <w:vAlign w:val="bottom"/>
            <w:shd w:val="clear" w:color="auto" w:fill="E6E6E6"/>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Mr. Bilodeau is the retired President and Chief Executive Officer of Standard</w:t>
            </w:r>
          </w:p>
        </w:tc>
        <w:tc>
          <w:tcPr>
            <w:tcW w:w="0" w:type="dxa"/>
            <w:vAlign w:val="bottom"/>
          </w:tcPr>
          <w:p>
            <w:pPr>
              <w:spacing w:after="0"/>
              <w:rPr>
                <w:sz w:val="1"/>
                <w:szCs w:val="1"/>
                <w:color w:val="auto"/>
              </w:rPr>
            </w:pPr>
          </w:p>
        </w:tc>
      </w:tr>
      <w:tr>
        <w:trPr>
          <w:trHeight w:val="203"/>
        </w:trPr>
        <w:tc>
          <w:tcPr>
            <w:tcW w:w="4160" w:type="dxa"/>
            <w:vAlign w:val="bottom"/>
            <w:shd w:val="clear" w:color="auto" w:fill="E6E6E6"/>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Microsystems Corporation (“SMSC”), a semiconductor manufacturer, where he served</w:t>
            </w:r>
          </w:p>
        </w:tc>
        <w:tc>
          <w:tcPr>
            <w:tcW w:w="0" w:type="dxa"/>
            <w:vAlign w:val="bottom"/>
          </w:tcPr>
          <w:p>
            <w:pPr>
              <w:spacing w:after="0"/>
              <w:rPr>
                <w:sz w:val="1"/>
                <w:szCs w:val="1"/>
                <w:color w:val="auto"/>
              </w:rPr>
            </w:pPr>
          </w:p>
        </w:tc>
      </w:tr>
      <w:tr>
        <w:trPr>
          <w:trHeight w:val="203"/>
        </w:trPr>
        <w:tc>
          <w:tcPr>
            <w:tcW w:w="4160" w:type="dxa"/>
            <w:vAlign w:val="bottom"/>
            <w:shd w:val="clear" w:color="auto" w:fill="E6E6E6"/>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from 1999 until 2008. Mr. Bilodeau served as a director of Maxwell Technologies, Inc.,</w:t>
            </w:r>
          </w:p>
        </w:tc>
        <w:tc>
          <w:tcPr>
            <w:tcW w:w="0" w:type="dxa"/>
            <w:vAlign w:val="bottom"/>
          </w:tcPr>
          <w:p>
            <w:pPr>
              <w:spacing w:after="0"/>
              <w:rPr>
                <w:sz w:val="1"/>
                <w:szCs w:val="1"/>
                <w:color w:val="auto"/>
              </w:rPr>
            </w:pPr>
          </w:p>
        </w:tc>
      </w:tr>
      <w:tr>
        <w:trPr>
          <w:trHeight w:val="203"/>
        </w:trPr>
        <w:tc>
          <w:tcPr>
            <w:tcW w:w="4160" w:type="dxa"/>
            <w:vAlign w:val="bottom"/>
            <w:vMerge w:val="restart"/>
            <w:shd w:val="clear" w:color="auto" w:fill="E6E6E6"/>
          </w:tcPr>
          <w:p>
            <w:pPr>
              <w:spacing w:after="0"/>
              <w:rPr>
                <w:sz w:val="20"/>
                <w:szCs w:val="20"/>
                <w:color w:val="auto"/>
              </w:rPr>
            </w:pPr>
            <w:r>
              <w:rPr>
                <w:rFonts w:ascii="Arial" w:cs="Arial" w:eastAsia="Arial" w:hAnsi="Arial"/>
                <w:sz w:val="25"/>
                <w:szCs w:val="25"/>
                <w:b w:val="1"/>
                <w:bCs w:val="1"/>
                <w:color w:val="0033A0"/>
              </w:rPr>
              <w:t>Steven J. Bilodeau</w:t>
            </w:r>
          </w:p>
        </w:tc>
        <w:tc>
          <w:tcPr>
            <w:tcW w:w="7080" w:type="dxa"/>
            <w:vAlign w:val="bottom"/>
          </w:tcPr>
          <w:p>
            <w:pPr>
              <w:spacing w:after="0" w:line="202" w:lineRule="exact"/>
              <w:rPr>
                <w:sz w:val="20"/>
                <w:szCs w:val="20"/>
                <w:color w:val="auto"/>
              </w:rPr>
            </w:pPr>
            <w:r>
              <w:rPr>
                <w:rFonts w:ascii="Arial" w:cs="Arial" w:eastAsia="Arial" w:hAnsi="Arial"/>
                <w:sz w:val="18"/>
                <w:szCs w:val="18"/>
                <w:color w:val="auto"/>
                <w:w w:val="99"/>
              </w:rPr>
              <w:t>from May 2016 and was appointed Chairperson in May 2017 until its sale to Tesla, Inc. in</w:t>
            </w:r>
          </w:p>
        </w:tc>
        <w:tc>
          <w:tcPr>
            <w:tcW w:w="0" w:type="dxa"/>
            <w:vAlign w:val="bottom"/>
          </w:tcPr>
          <w:p>
            <w:pPr>
              <w:spacing w:after="0"/>
              <w:rPr>
                <w:sz w:val="1"/>
                <w:szCs w:val="1"/>
                <w:color w:val="auto"/>
              </w:rPr>
            </w:pPr>
          </w:p>
        </w:tc>
      </w:tr>
      <w:tr>
        <w:trPr>
          <w:trHeight w:val="181"/>
        </w:trPr>
        <w:tc>
          <w:tcPr>
            <w:tcW w:w="4160" w:type="dxa"/>
            <w:vAlign w:val="bottom"/>
            <w:vMerge w:val="continue"/>
            <w:shd w:val="clear" w:color="auto" w:fill="E6E6E6"/>
          </w:tcPr>
          <w:p>
            <w:pPr>
              <w:spacing w:after="0"/>
              <w:rPr>
                <w:sz w:val="15"/>
                <w:szCs w:val="15"/>
                <w:color w:val="auto"/>
              </w:rPr>
            </w:pPr>
          </w:p>
        </w:tc>
        <w:tc>
          <w:tcPr>
            <w:tcW w:w="7080" w:type="dxa"/>
            <w:vAlign w:val="bottom"/>
          </w:tcPr>
          <w:p>
            <w:pPr>
              <w:spacing w:after="0" w:line="181" w:lineRule="exact"/>
              <w:rPr>
                <w:sz w:val="20"/>
                <w:szCs w:val="20"/>
                <w:color w:val="auto"/>
              </w:rPr>
            </w:pPr>
            <w:r>
              <w:rPr>
                <w:rFonts w:ascii="Arial" w:cs="Arial" w:eastAsia="Arial" w:hAnsi="Arial"/>
                <w:sz w:val="18"/>
                <w:szCs w:val="18"/>
                <w:color w:val="auto"/>
              </w:rPr>
              <w:t>May 2019. Mr. Bilodeau also served as a director of SMSC from 1999 until 2012,</w:t>
            </w:r>
          </w:p>
        </w:tc>
        <w:tc>
          <w:tcPr>
            <w:tcW w:w="0" w:type="dxa"/>
            <w:vAlign w:val="bottom"/>
          </w:tcPr>
          <w:p>
            <w:pPr>
              <w:spacing w:after="0"/>
              <w:rPr>
                <w:sz w:val="1"/>
                <w:szCs w:val="1"/>
                <w:color w:val="auto"/>
              </w:rPr>
            </w:pPr>
          </w:p>
        </w:tc>
      </w:tr>
      <w:tr>
        <w:trPr>
          <w:trHeight w:val="203"/>
        </w:trPr>
        <w:tc>
          <w:tcPr>
            <w:tcW w:w="4160" w:type="dxa"/>
            <w:vAlign w:val="bottom"/>
            <w:shd w:val="clear" w:color="auto" w:fill="E6E6E6"/>
          </w:tcPr>
          <w:p>
            <w:pPr>
              <w:spacing w:after="0" w:line="203" w:lineRule="exact"/>
              <w:rPr>
                <w:sz w:val="20"/>
                <w:szCs w:val="20"/>
                <w:color w:val="auto"/>
              </w:rPr>
            </w:pPr>
            <w:r>
              <w:rPr>
                <w:rFonts w:ascii="Arial" w:cs="Arial" w:eastAsia="Arial" w:hAnsi="Arial"/>
                <w:sz w:val="22"/>
                <w:szCs w:val="22"/>
                <w:color w:val="auto"/>
              </w:rPr>
              <w:t>Director since 2009</w:t>
            </w:r>
          </w:p>
        </w:tc>
        <w:tc>
          <w:tcPr>
            <w:tcW w:w="7080" w:type="dxa"/>
            <w:vAlign w:val="bottom"/>
          </w:tcPr>
          <w:p>
            <w:pPr>
              <w:spacing w:after="0" w:line="203" w:lineRule="exact"/>
              <w:rPr>
                <w:sz w:val="20"/>
                <w:szCs w:val="20"/>
                <w:color w:val="auto"/>
              </w:rPr>
            </w:pPr>
            <w:r>
              <w:rPr>
                <w:rFonts w:ascii="Arial" w:cs="Arial" w:eastAsia="Arial" w:hAnsi="Arial"/>
                <w:sz w:val="18"/>
                <w:szCs w:val="18"/>
                <w:color w:val="auto"/>
              </w:rPr>
              <w:t>including as SMSC’s Chairperson of the Board from 2000 until 2012. Mr. Bilodeau also</w:t>
            </w:r>
          </w:p>
        </w:tc>
        <w:tc>
          <w:tcPr>
            <w:tcW w:w="0" w:type="dxa"/>
            <w:vAlign w:val="bottom"/>
          </w:tcPr>
          <w:p>
            <w:pPr>
              <w:spacing w:after="0"/>
              <w:rPr>
                <w:sz w:val="1"/>
                <w:szCs w:val="1"/>
                <w:color w:val="auto"/>
              </w:rPr>
            </w:pPr>
          </w:p>
        </w:tc>
      </w:tr>
      <w:tr>
        <w:trPr>
          <w:trHeight w:val="224"/>
        </w:trPr>
        <w:tc>
          <w:tcPr>
            <w:tcW w:w="4160" w:type="dxa"/>
            <w:vAlign w:val="bottom"/>
            <w:shd w:val="clear" w:color="auto" w:fill="E6E6E6"/>
          </w:tcPr>
          <w:p>
            <w:pPr>
              <w:spacing w:after="0" w:line="224" w:lineRule="exact"/>
              <w:rPr>
                <w:sz w:val="20"/>
                <w:szCs w:val="20"/>
                <w:color w:val="auto"/>
              </w:rPr>
            </w:pPr>
            <w:r>
              <w:rPr>
                <w:rFonts w:ascii="Arial" w:cs="Arial" w:eastAsia="Arial" w:hAnsi="Arial"/>
                <w:sz w:val="22"/>
                <w:szCs w:val="22"/>
                <w:color w:val="auto"/>
              </w:rPr>
              <w:t>Age 66</w:t>
            </w:r>
          </w:p>
        </w:tc>
        <w:tc>
          <w:tcPr>
            <w:tcW w:w="7080" w:type="dxa"/>
            <w:vAlign w:val="bottom"/>
          </w:tcPr>
          <w:p>
            <w:pPr>
              <w:spacing w:after="0"/>
              <w:rPr>
                <w:sz w:val="20"/>
                <w:szCs w:val="20"/>
                <w:color w:val="auto"/>
              </w:rPr>
            </w:pPr>
            <w:r>
              <w:rPr>
                <w:rFonts w:ascii="Arial" w:cs="Arial" w:eastAsia="Arial" w:hAnsi="Arial"/>
                <w:sz w:val="18"/>
                <w:szCs w:val="18"/>
                <w:color w:val="auto"/>
              </w:rPr>
              <w:t>previously served as a director of NuHorizons Electronic Corp. (from 2009 to 2011),</w:t>
            </w:r>
          </w:p>
        </w:tc>
        <w:tc>
          <w:tcPr>
            <w:tcW w:w="0" w:type="dxa"/>
            <w:vAlign w:val="bottom"/>
          </w:tcPr>
          <w:p>
            <w:pPr>
              <w:spacing w:after="0"/>
              <w:rPr>
                <w:sz w:val="1"/>
                <w:szCs w:val="1"/>
                <w:color w:val="auto"/>
              </w:rPr>
            </w:pPr>
          </w:p>
        </w:tc>
      </w:tr>
      <w:tr>
        <w:trPr>
          <w:trHeight w:val="203"/>
        </w:trPr>
        <w:tc>
          <w:tcPr>
            <w:tcW w:w="4160" w:type="dxa"/>
            <w:vAlign w:val="bottom"/>
            <w:shd w:val="clear" w:color="auto" w:fill="E6E6E6"/>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Conexant Systems, Inc. (from 2004 to 2011) and Gennum Corporation (from 2008 to</w:t>
            </w:r>
          </w:p>
        </w:tc>
        <w:tc>
          <w:tcPr>
            <w:tcW w:w="0" w:type="dxa"/>
            <w:vAlign w:val="bottom"/>
          </w:tcPr>
          <w:p>
            <w:pPr>
              <w:spacing w:after="0"/>
              <w:rPr>
                <w:sz w:val="1"/>
                <w:szCs w:val="1"/>
                <w:color w:val="auto"/>
              </w:rPr>
            </w:pPr>
          </w:p>
        </w:tc>
      </w:tr>
      <w:tr>
        <w:trPr>
          <w:trHeight w:val="262"/>
        </w:trPr>
        <w:tc>
          <w:tcPr>
            <w:tcW w:w="4160" w:type="dxa"/>
            <w:vAlign w:val="bottom"/>
            <w:shd w:val="clear" w:color="auto" w:fill="E6E6E6"/>
          </w:tcPr>
          <w:p>
            <w:pPr>
              <w:spacing w:after="0"/>
              <w:rPr>
                <w:sz w:val="20"/>
                <w:szCs w:val="20"/>
                <w:color w:val="auto"/>
              </w:rPr>
            </w:pPr>
            <w:r>
              <w:rPr>
                <w:rFonts w:ascii="Arial" w:cs="Arial" w:eastAsia="Arial" w:hAnsi="Arial"/>
                <w:sz w:val="22"/>
                <w:szCs w:val="22"/>
                <w:b w:val="1"/>
                <w:bCs w:val="1"/>
                <w:color w:val="0033A0"/>
              </w:rPr>
              <w:t>Board Committees:</w:t>
            </w:r>
          </w:p>
        </w:tc>
        <w:tc>
          <w:tcPr>
            <w:tcW w:w="7080" w:type="dxa"/>
            <w:vAlign w:val="bottom"/>
          </w:tcPr>
          <w:p>
            <w:pPr>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43"/>
        </w:trPr>
        <w:tc>
          <w:tcPr>
            <w:tcW w:w="4160" w:type="dxa"/>
            <w:vAlign w:val="bottom"/>
            <w:shd w:val="clear" w:color="auto" w:fill="E6E6E6"/>
          </w:tcPr>
          <w:p>
            <w:pPr>
              <w:spacing w:after="0" w:line="243" w:lineRule="exact"/>
              <w:rPr>
                <w:sz w:val="20"/>
                <w:szCs w:val="20"/>
                <w:color w:val="auto"/>
              </w:rPr>
            </w:pPr>
            <w:r>
              <w:rPr>
                <w:rFonts w:ascii="Arial" w:cs="Arial" w:eastAsia="Arial" w:hAnsi="Arial"/>
                <w:sz w:val="22"/>
                <w:szCs w:val="22"/>
                <w:color w:val="auto"/>
              </w:rPr>
              <w:t>Compensation Committee (Chair)</w:t>
            </w:r>
          </w:p>
        </w:tc>
        <w:tc>
          <w:tcPr>
            <w:tcW w:w="7080" w:type="dxa"/>
            <w:vAlign w:val="bottom"/>
            <w:vMerge w:val="restart"/>
          </w:tcPr>
          <w:p>
            <w:pPr>
              <w:spacing w:after="0"/>
              <w:rPr>
                <w:sz w:val="20"/>
                <w:szCs w:val="20"/>
                <w:color w:val="auto"/>
              </w:rPr>
            </w:pPr>
            <w:r>
              <w:rPr>
                <w:rFonts w:ascii="Arial" w:cs="Arial" w:eastAsia="Arial" w:hAnsi="Arial"/>
                <w:sz w:val="22"/>
                <w:szCs w:val="22"/>
                <w:color w:val="0033A0"/>
              </w:rPr>
              <w:t>Experience Qualifications and Attributes</w:t>
            </w:r>
          </w:p>
        </w:tc>
        <w:tc>
          <w:tcPr>
            <w:tcW w:w="0" w:type="dxa"/>
            <w:vAlign w:val="bottom"/>
          </w:tcPr>
          <w:p>
            <w:pPr>
              <w:spacing w:after="0"/>
              <w:rPr>
                <w:sz w:val="1"/>
                <w:szCs w:val="1"/>
                <w:color w:val="auto"/>
              </w:rPr>
            </w:pPr>
          </w:p>
        </w:tc>
      </w:tr>
      <w:tr>
        <w:trPr>
          <w:trHeight w:val="143"/>
        </w:trPr>
        <w:tc>
          <w:tcPr>
            <w:tcW w:w="4160" w:type="dxa"/>
            <w:vAlign w:val="bottom"/>
            <w:vMerge w:val="restart"/>
            <w:shd w:val="clear" w:color="auto" w:fill="E6E6E6"/>
          </w:tcPr>
          <w:p>
            <w:pPr>
              <w:spacing w:after="0"/>
              <w:rPr>
                <w:sz w:val="20"/>
                <w:szCs w:val="20"/>
                <w:color w:val="auto"/>
              </w:rPr>
            </w:pPr>
            <w:r>
              <w:rPr>
                <w:rFonts w:ascii="Arial" w:cs="Arial" w:eastAsia="Arial" w:hAnsi="Arial"/>
                <w:sz w:val="22"/>
                <w:szCs w:val="22"/>
                <w:color w:val="auto"/>
              </w:rPr>
              <w:t>Nominating and Governance</w:t>
            </w:r>
          </w:p>
        </w:tc>
        <w:tc>
          <w:tcPr>
            <w:tcW w:w="7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160" w:type="dxa"/>
            <w:vAlign w:val="bottom"/>
            <w:vMerge w:val="continue"/>
            <w:shd w:val="clear" w:color="auto" w:fill="E6E6E6"/>
          </w:tcPr>
          <w:p>
            <w:pPr>
              <w:spacing w:after="0"/>
              <w:rPr>
                <w:sz w:val="12"/>
                <w:szCs w:val="12"/>
                <w:color w:val="auto"/>
              </w:rPr>
            </w:pPr>
          </w:p>
        </w:tc>
        <w:tc>
          <w:tcPr>
            <w:tcW w:w="7080" w:type="dxa"/>
            <w:vAlign w:val="bottom"/>
            <w:vMerge w:val="restart"/>
          </w:tcPr>
          <w:p>
            <w:pPr>
              <w:spacing w:after="0" w:line="202" w:lineRule="exact"/>
              <w:rPr>
                <w:sz w:val="20"/>
                <w:szCs w:val="20"/>
                <w:color w:val="auto"/>
              </w:rPr>
            </w:pPr>
            <w:r>
              <w:rPr>
                <w:rFonts w:ascii="Arial" w:cs="Arial" w:eastAsia="Arial" w:hAnsi="Arial"/>
                <w:sz w:val="18"/>
                <w:szCs w:val="18"/>
                <w:color w:val="auto"/>
              </w:rPr>
              <w:t>We believe Mr. Bilodeau’s qualifications to sit on our Board include his extensive board</w:t>
            </w:r>
          </w:p>
        </w:tc>
        <w:tc>
          <w:tcPr>
            <w:tcW w:w="0" w:type="dxa"/>
            <w:vAlign w:val="bottom"/>
          </w:tcPr>
          <w:p>
            <w:pPr>
              <w:spacing w:after="0"/>
              <w:rPr>
                <w:sz w:val="1"/>
                <w:szCs w:val="1"/>
                <w:color w:val="auto"/>
              </w:rPr>
            </w:pPr>
          </w:p>
        </w:tc>
      </w:tr>
      <w:tr>
        <w:trPr>
          <w:trHeight w:val="62"/>
        </w:trPr>
        <w:tc>
          <w:tcPr>
            <w:tcW w:w="4160" w:type="dxa"/>
            <w:vAlign w:val="bottom"/>
            <w:shd w:val="clear" w:color="auto" w:fill="E6E6E6"/>
          </w:tcPr>
          <w:p>
            <w:pPr>
              <w:spacing w:after="0"/>
              <w:rPr>
                <w:sz w:val="5"/>
                <w:szCs w:val="5"/>
                <w:color w:val="auto"/>
              </w:rPr>
            </w:pPr>
          </w:p>
        </w:tc>
        <w:tc>
          <w:tcPr>
            <w:tcW w:w="7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E6E6E6"/>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and executive, including CEO, experience in the high technology and semiconductor</w:t>
            </w:r>
          </w:p>
        </w:tc>
        <w:tc>
          <w:tcPr>
            <w:tcW w:w="0" w:type="dxa"/>
            <w:vAlign w:val="bottom"/>
          </w:tcPr>
          <w:p>
            <w:pPr>
              <w:spacing w:after="0"/>
              <w:rPr>
                <w:sz w:val="1"/>
                <w:szCs w:val="1"/>
                <w:color w:val="auto"/>
              </w:rPr>
            </w:pPr>
          </w:p>
        </w:tc>
      </w:tr>
      <w:tr>
        <w:trPr>
          <w:trHeight w:val="203"/>
        </w:trPr>
        <w:tc>
          <w:tcPr>
            <w:tcW w:w="4160" w:type="dxa"/>
            <w:vAlign w:val="bottom"/>
            <w:shd w:val="clear" w:color="auto" w:fill="E6E6E6"/>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industries and his knowledge of international operations, business strategy and</w:t>
            </w:r>
          </w:p>
        </w:tc>
        <w:tc>
          <w:tcPr>
            <w:tcW w:w="0" w:type="dxa"/>
            <w:vAlign w:val="bottom"/>
          </w:tcPr>
          <w:p>
            <w:pPr>
              <w:spacing w:after="0"/>
              <w:rPr>
                <w:sz w:val="1"/>
                <w:szCs w:val="1"/>
                <w:color w:val="auto"/>
              </w:rPr>
            </w:pPr>
          </w:p>
        </w:tc>
      </w:tr>
      <w:tr>
        <w:trPr>
          <w:trHeight w:val="203"/>
        </w:trPr>
        <w:tc>
          <w:tcPr>
            <w:tcW w:w="4160" w:type="dxa"/>
            <w:vAlign w:val="bottom"/>
            <w:shd w:val="clear" w:color="auto" w:fill="E6E6E6"/>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corporate governance. Mr. Bilodeau was first appointed Lead Independent Director of</w:t>
            </w:r>
          </w:p>
        </w:tc>
        <w:tc>
          <w:tcPr>
            <w:tcW w:w="0" w:type="dxa"/>
            <w:vAlign w:val="bottom"/>
          </w:tcPr>
          <w:p>
            <w:pPr>
              <w:spacing w:after="0"/>
              <w:rPr>
                <w:sz w:val="1"/>
                <w:szCs w:val="1"/>
                <w:color w:val="auto"/>
              </w:rPr>
            </w:pPr>
          </w:p>
        </w:tc>
      </w:tr>
      <w:tr>
        <w:trPr>
          <w:trHeight w:val="221"/>
        </w:trPr>
        <w:tc>
          <w:tcPr>
            <w:tcW w:w="4160" w:type="dxa"/>
            <w:vAlign w:val="bottom"/>
            <w:tcBorders>
              <w:bottom w:val="single" w:sz="8" w:color="2D53A6"/>
            </w:tcBorders>
            <w:shd w:val="clear" w:color="auto" w:fill="E6E6E6"/>
          </w:tcPr>
          <w:p>
            <w:pPr>
              <w:spacing w:after="0"/>
              <w:rPr>
                <w:sz w:val="19"/>
                <w:szCs w:val="19"/>
                <w:color w:val="auto"/>
              </w:rPr>
            </w:pPr>
          </w:p>
        </w:tc>
        <w:tc>
          <w:tcPr>
            <w:tcW w:w="708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the Board in May 2018.</w:t>
            </w:r>
          </w:p>
        </w:tc>
        <w:tc>
          <w:tcPr>
            <w:tcW w:w="0" w:type="dxa"/>
            <w:vAlign w:val="bottom"/>
          </w:tcPr>
          <w:p>
            <w:pPr>
              <w:spacing w:after="0"/>
              <w:rPr>
                <w:sz w:val="1"/>
                <w:szCs w:val="1"/>
                <w:color w:val="auto"/>
              </w:rPr>
            </w:pPr>
          </w:p>
        </w:tc>
      </w:tr>
      <w:tr>
        <w:trPr>
          <w:trHeight w:val="416"/>
        </w:trPr>
        <w:tc>
          <w:tcPr>
            <w:tcW w:w="4160" w:type="dxa"/>
            <w:vAlign w:val="bottom"/>
          </w:tcPr>
          <w:p>
            <w:pPr>
              <w:spacing w:after="0"/>
              <w:rPr>
                <w:sz w:val="24"/>
                <w:szCs w:val="24"/>
                <w:color w:val="auto"/>
              </w:rPr>
            </w:pPr>
          </w:p>
        </w:tc>
        <w:tc>
          <w:tcPr>
            <w:tcW w:w="7080" w:type="dxa"/>
            <w:vAlign w:val="bottom"/>
          </w:tcPr>
          <w:p>
            <w:pPr>
              <w:ind w:left="13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98"/>
        </w:trPr>
        <w:tc>
          <w:tcPr>
            <w:tcW w:w="4160" w:type="dxa"/>
            <w:vAlign w:val="bottom"/>
            <w:tcBorders>
              <w:bottom w:val="single" w:sz="8" w:color="auto"/>
            </w:tcBorders>
          </w:tcPr>
          <w:p>
            <w:pPr>
              <w:spacing w:after="0"/>
              <w:rPr>
                <w:sz w:val="8"/>
                <w:szCs w:val="8"/>
                <w:color w:val="auto"/>
              </w:rPr>
            </w:pPr>
          </w:p>
        </w:tc>
        <w:tc>
          <w:tcPr>
            <w:tcW w:w="7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22796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22796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b w:val="1"/>
          <w:bCs w:val="1"/>
          <w:color w:val="0033A0"/>
        </w:rPr>
        <w:t>James A. Donahue</w:t>
      </w:r>
    </w:p>
    <w:p>
      <w:pPr>
        <w:spacing w:after="0" w:line="28" w:lineRule="exact"/>
        <w:rPr>
          <w:sz w:val="20"/>
          <w:szCs w:val="20"/>
          <w:color w:val="auto"/>
        </w:rPr>
      </w:pPr>
    </w:p>
    <w:p>
      <w:pPr>
        <w:ind w:right="20"/>
        <w:spacing w:after="0"/>
        <w:rPr>
          <w:sz w:val="20"/>
          <w:szCs w:val="20"/>
          <w:color w:val="auto"/>
        </w:rPr>
      </w:pPr>
      <w:r>
        <w:rPr>
          <w:rFonts w:ascii="Arial" w:cs="Arial" w:eastAsia="Arial" w:hAnsi="Arial"/>
          <w:sz w:val="22"/>
          <w:szCs w:val="22"/>
          <w:color w:val="auto"/>
        </w:rPr>
        <w:t>Director since 1999 (non-executive Director since 2015) Age 76</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0033A0"/>
        </w:rPr>
        <w:t>Business Experience and Other Directorships</w:t>
      </w:r>
    </w:p>
    <w:p>
      <w:pPr>
        <w:spacing w:after="0" w:line="1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Mr. Donahue has been the non-executive Chairperson of Cohu since December 24, 2015. Prior to this he served as Executive Chairperson of Cohu from December 28, 2014 to December 24, 2015, and as Chairperson of the Board from 2010 until 2014. Mr. Donahue was President and Chief Executive Officer of Cohu from 2000 to 2014, and President and Chief Operating Officer of Cohu from 1999 to 2000. He also served concurrently as President of Delta Design, Inc., a wholly owned subsidiary of Cohu from 1983 to 2010. Mr. Donahue also previously served as a director of SMSC from 2003 until 2012.</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0033A0"/>
        </w:rPr>
        <w:t>Experience Qualifications and Attributes</w:t>
      </w:r>
    </w:p>
    <w:p>
      <w:pPr>
        <w:spacing w:after="0" w:line="1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believe Mr. Donahue’s qualifications to sit on our Board include his extensive board and executive, including CEO, experience in the semiconductor equipment industry and broad knowledge of business development and strategy, corporate governance and operations. Given these qualifications, the Board has determined that it is in the best interests of the Company and its stockholders for Mr. Donahue to continue serving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114300</wp:posOffset>
            </wp:positionV>
            <wp:extent cx="7132320" cy="2922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292290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3440" w:space="720"/>
            <w:col w:w="7080"/>
          </w:cols>
          <w:pgMar w:left="320" w:top="122" w:right="339" w:bottom="1440" w:gutter="0" w:footer="0" w:header="0"/>
          <w:type w:val="continuous"/>
        </w:sectPr>
      </w:pPr>
    </w:p>
    <w:p>
      <w:pPr>
        <w:ind w:left="4160"/>
        <w:spacing w:after="0"/>
        <w:rPr>
          <w:sz w:val="20"/>
          <w:szCs w:val="20"/>
          <w:color w:val="auto"/>
        </w:rPr>
      </w:pPr>
      <w:r>
        <w:rPr>
          <w:rFonts w:ascii="Arial" w:cs="Arial" w:eastAsia="Arial" w:hAnsi="Arial"/>
          <w:sz w:val="21"/>
          <w:szCs w:val="21"/>
          <w:color w:val="0033A0"/>
        </w:rPr>
        <w:t>Business Experience and Other Directorships</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b w:val="1"/>
          <w:bCs w:val="1"/>
          <w:color w:val="0033A0"/>
        </w:rPr>
        <w:t>Andreas W. Mattes</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color w:val="auto"/>
        </w:rPr>
        <w:t>Director since 2022</w:t>
      </w:r>
    </w:p>
    <w:p>
      <w:pPr>
        <w:spacing w:after="0"/>
        <w:rPr>
          <w:sz w:val="20"/>
          <w:szCs w:val="20"/>
          <w:color w:val="auto"/>
        </w:rPr>
      </w:pPr>
      <w:r>
        <w:rPr>
          <w:rFonts w:ascii="Arial" w:cs="Arial" w:eastAsia="Arial" w:hAnsi="Arial"/>
          <w:sz w:val="22"/>
          <w:szCs w:val="22"/>
          <w:color w:val="auto"/>
        </w:rPr>
        <w:t>Age 64</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Board Committees:</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Compensation Committee</w:t>
      </w:r>
    </w:p>
    <w:p>
      <w:pPr>
        <w:spacing w:after="0" w:line="182" w:lineRule="exact"/>
        <w:rPr>
          <w:sz w:val="20"/>
          <w:szCs w:val="20"/>
          <w:color w:val="auto"/>
        </w:rPr>
      </w:pPr>
    </w:p>
    <w:p>
      <w:pPr>
        <w:ind w:right="1300"/>
        <w:spacing w:after="0" w:line="263" w:lineRule="auto"/>
        <w:rPr>
          <w:sz w:val="20"/>
          <w:szCs w:val="20"/>
          <w:color w:val="auto"/>
        </w:rPr>
      </w:pPr>
      <w:r>
        <w:rPr>
          <w:rFonts w:ascii="Arial" w:cs="Arial" w:eastAsia="Arial" w:hAnsi="Arial"/>
          <w:sz w:val="21"/>
          <w:szCs w:val="21"/>
          <w:b w:val="1"/>
          <w:bCs w:val="1"/>
          <w:color w:val="2D53A6"/>
        </w:rPr>
        <w:t xml:space="preserve">Other Current Public Company Boards: </w:t>
      </w:r>
      <w:r>
        <w:rPr>
          <w:rFonts w:ascii="Arial" w:cs="Arial" w:eastAsia="Arial" w:hAnsi="Arial"/>
          <w:sz w:val="21"/>
          <w:szCs w:val="21"/>
          <w:color w:val="000000"/>
        </w:rPr>
        <w:t>ams-OSRAM AG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Mr. Mattes is the retired Chief Executive Officer, President and board member of Coherent, Inc., a position he held from April 2020 to July 2022. From June 2019 until joining Coherent, he was a Senior Advisor to McKinsey &amp; Company. From 2013 to 2017, he was the Chief Executive Officer and board member of Diebold Nixdorf Incorporated, and also served as its President from 2013 to 2016. Prior to that, Mr. Mattes was Senior Vice President, Global Strategic Partnerships at Violin Memory in 2013. He has also held various senior management positions with Hewlett-Packard Co. From 2008 to 2011, he was the Senior Vice President and General Manager of Hewlett Packard’s Enterprise Services for the Americas, and from 2006 to 2008, he was Hewlett Packard’s Chief Sales Officer for the Enterprise Business. Mr. Mattes spent the first 20 years of his career, from 1985 to 2005, at Siemens, holding a variety of senior leadership positions. Mr. Mattes has over 20 years of public board experience on three continents and he currently also serves on the board of ams-OSRAM AG, a position he has held since June 2023. He previously served on the board of Velodyne Lidar, Inc., from 2022 until its merger with Ouster in February 2023 (2022-2023).</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0033A0"/>
        </w:rPr>
        <w:t>Experience Qualifications and Attributes</w:t>
      </w:r>
    </w:p>
    <w:p>
      <w:pPr>
        <w:spacing w:after="0" w:line="16"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We believe Mr. Mattes’ qualifications to sit on our Board include his substantial technology industry experience, experience as Chief Executive Officer and board member of publicly traded companies, and extensive experience in managing large global businesses, sales organizations and mergers and acquisitions.</w:t>
      </w:r>
    </w:p>
    <w:p>
      <w:pPr>
        <w:spacing w:after="0" w:line="180" w:lineRule="exact"/>
        <w:rPr>
          <w:sz w:val="20"/>
          <w:szCs w:val="20"/>
          <w:color w:val="auto"/>
        </w:rPr>
      </w:pPr>
    </w:p>
    <w:p>
      <w:pPr>
        <w:sectPr>
          <w:pgSz w:w="11900" w:h="16838" w:orient="portrait"/>
          <w:cols w:equalWidth="0" w:num="2">
            <w:col w:w="3440" w:space="720"/>
            <w:col w:w="7080"/>
          </w:cols>
          <w:pgMar w:left="320" w:top="122" w:right="3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Other Continuing Directors Not Standing for Election in 2025</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0033A0"/>
        </w:rPr>
        <w:t>Directors Whose Term Expires in 2026 - Class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1513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215138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0033A0"/>
        </w:rPr>
        <w:t>William E. Bendush</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color w:val="auto"/>
        </w:rPr>
        <w:t>Director since 2011</w:t>
      </w:r>
    </w:p>
    <w:p>
      <w:pPr>
        <w:spacing w:after="0"/>
        <w:rPr>
          <w:sz w:val="20"/>
          <w:szCs w:val="20"/>
          <w:color w:val="auto"/>
        </w:rPr>
      </w:pPr>
      <w:r>
        <w:rPr>
          <w:rFonts w:ascii="Arial" w:cs="Arial" w:eastAsia="Arial" w:hAnsi="Arial"/>
          <w:sz w:val="22"/>
          <w:szCs w:val="22"/>
          <w:color w:val="auto"/>
        </w:rPr>
        <w:t>Age 76</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Board Committees:</w:t>
      </w:r>
    </w:p>
    <w:p>
      <w:pPr>
        <w:spacing w:after="0" w:line="12" w:lineRule="exact"/>
        <w:rPr>
          <w:sz w:val="20"/>
          <w:szCs w:val="20"/>
          <w:color w:val="auto"/>
        </w:rPr>
      </w:pPr>
    </w:p>
    <w:p>
      <w:pPr>
        <w:ind w:right="680"/>
        <w:spacing w:after="0" w:line="263" w:lineRule="auto"/>
        <w:rPr>
          <w:sz w:val="20"/>
          <w:szCs w:val="20"/>
          <w:color w:val="auto"/>
        </w:rPr>
      </w:pPr>
      <w:r>
        <w:rPr>
          <w:rFonts w:ascii="Arial" w:cs="Arial" w:eastAsia="Arial" w:hAnsi="Arial"/>
          <w:sz w:val="21"/>
          <w:szCs w:val="21"/>
          <w:color w:val="auto"/>
        </w:rPr>
        <w:t>Audit Committee (Chair) Nominating and Governance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0033A0"/>
        </w:rPr>
        <w:t>Business Experience and Other Directorships</w:t>
      </w:r>
    </w:p>
    <w:p>
      <w:pPr>
        <w:spacing w:after="0" w:line="1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Mr. Bendush is the retired Senior Vice President and Chief Financial Officer of Applied Micro Circuits Corporation (“AMCC”), a communications semiconductor company, and during his tenure an S&amp;P 500 constituent company, where he served from 1999 to 2003. Mr. Bendush was a director of Microsemi Corp. from 2003 until the company was acquired in 2018, and also previously served as a director at Conexant Systems, Inc. (from 2008 to 2011) and Smartflex Systems, Inc. (from 1993 to 1999).</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0033A0"/>
        </w:rPr>
        <w:t>Experience Qualifications and Attributes</w:t>
      </w:r>
    </w:p>
    <w:p>
      <w:pPr>
        <w:spacing w:after="0" w:line="1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believe Mr. Bendush’s qualifications to sit on our Board include his extensive board and executive experience in the semiconductor industry and his experience with financial accounting matters for complex global organizations as well as his knowledge of business strategy. He has been a member of four public company audit committees and chaired three, and also served as Chair of Microsemi’s compensation and nominating and governance committees during portions of his tenure there. Mr. Bendush qualifies as an “audit committee financial expert” under SEC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116840</wp:posOffset>
            </wp:positionV>
            <wp:extent cx="7132320" cy="27940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2794000"/>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3440" w:space="720"/>
            <w:col w:w="7080"/>
          </w:cols>
          <w:pgMar w:left="320" w:top="122" w:right="339" w:bottom="1440" w:gutter="0" w:footer="0" w:header="0"/>
          <w:type w:val="continuous"/>
        </w:sectPr>
      </w:pPr>
    </w:p>
    <w:p>
      <w:pPr>
        <w:ind w:left="4160"/>
        <w:spacing w:after="0"/>
        <w:rPr>
          <w:sz w:val="20"/>
          <w:szCs w:val="20"/>
          <w:color w:val="auto"/>
        </w:rPr>
      </w:pPr>
      <w:r>
        <w:rPr>
          <w:rFonts w:ascii="Arial" w:cs="Arial" w:eastAsia="Arial" w:hAnsi="Arial"/>
          <w:sz w:val="21"/>
          <w:szCs w:val="21"/>
          <w:color w:val="0033A0"/>
        </w:rPr>
        <w:t>Business Experience and Other Directorships</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5"/>
          <w:szCs w:val="25"/>
          <w:b w:val="1"/>
          <w:bCs w:val="1"/>
          <w:color w:val="0033A0"/>
        </w:rPr>
        <w:t>Karen M. Rapp</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color w:val="auto"/>
        </w:rPr>
        <w:t>Director since 2024</w:t>
      </w:r>
    </w:p>
    <w:p>
      <w:pPr>
        <w:spacing w:after="0"/>
        <w:rPr>
          <w:sz w:val="20"/>
          <w:szCs w:val="20"/>
          <w:color w:val="auto"/>
        </w:rPr>
      </w:pPr>
      <w:r>
        <w:rPr>
          <w:rFonts w:ascii="Arial" w:cs="Arial" w:eastAsia="Arial" w:hAnsi="Arial"/>
          <w:sz w:val="22"/>
          <w:szCs w:val="22"/>
          <w:color w:val="auto"/>
        </w:rPr>
        <w:t>Age 57</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0033A0"/>
        </w:rPr>
        <w:t>Board Committees:</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Audit Committee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Ms. Rapp served as chief financial officer of National Instruments Corporation from 2017 through January 2023. Prior to that, she served as Senior Vice President of Corporate Development of NXP Semiconductors N.V. Ms. Rapp also served in several positions at Freescale, including serving as Vice President and Chief Information Officer from April 2013 to December 2015 and as Director of Operations and Finance, Global Sales and Marketing from April 2010 to April 2013. Ms. Rapp also currently serves as a director of Microchip Technology, a position she has held since 2021 and where she serves as Chair of the compensation committee and a member of the audit committee; and as a director of Plexus Corp., a position she has held since 2018 and where she serves as a member of the compensation committee and a member of the audit committee.</w:t>
      </w:r>
    </w:p>
    <w:p>
      <w:pPr>
        <w:spacing w:after="0" w:line="166" w:lineRule="exact"/>
        <w:rPr>
          <w:sz w:val="20"/>
          <w:szCs w:val="20"/>
          <w:color w:val="auto"/>
        </w:rPr>
      </w:pPr>
    </w:p>
    <w:p>
      <w:pPr>
        <w:sectPr>
          <w:pgSz w:w="11900" w:h="16838" w:orient="portrait"/>
          <w:cols w:equalWidth="0" w:num="2">
            <w:col w:w="3440" w:space="720"/>
            <w:col w:w="708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3140" w:type="dxa"/>
            <w:vAlign w:val="bottom"/>
          </w:tcPr>
          <w:p>
            <w:pPr>
              <w:spacing w:after="0"/>
              <w:rPr>
                <w:sz w:val="20"/>
                <w:szCs w:val="20"/>
                <w:color w:val="auto"/>
              </w:rPr>
            </w:pPr>
            <w:r>
              <w:rPr>
                <w:rFonts w:ascii="Arial" w:cs="Arial" w:eastAsia="Arial" w:hAnsi="Arial"/>
                <w:sz w:val="22"/>
                <w:szCs w:val="22"/>
                <w:b w:val="1"/>
                <w:bCs w:val="1"/>
                <w:color w:val="0033A0"/>
              </w:rPr>
              <w:t>Other Current Public</w:t>
            </w:r>
          </w:p>
        </w:tc>
        <w:tc>
          <w:tcPr>
            <w:tcW w:w="8000" w:type="dxa"/>
            <w:vAlign w:val="bottom"/>
          </w:tcPr>
          <w:p>
            <w:pPr>
              <w:ind w:left="1020"/>
              <w:spacing w:after="0"/>
              <w:rPr>
                <w:sz w:val="20"/>
                <w:szCs w:val="20"/>
                <w:color w:val="auto"/>
              </w:rPr>
            </w:pPr>
            <w:r>
              <w:rPr>
                <w:rFonts w:ascii="Arial" w:cs="Arial" w:eastAsia="Arial" w:hAnsi="Arial"/>
                <w:sz w:val="22"/>
                <w:szCs w:val="22"/>
                <w:color w:val="0033A0"/>
              </w:rPr>
              <w:t>Experience Qualifications and Attributes</w:t>
            </w:r>
          </w:p>
        </w:tc>
        <w:tc>
          <w:tcPr>
            <w:tcW w:w="0" w:type="dxa"/>
            <w:vAlign w:val="bottom"/>
          </w:tcPr>
          <w:p>
            <w:pPr>
              <w:spacing w:after="0"/>
              <w:rPr>
                <w:sz w:val="1"/>
                <w:szCs w:val="1"/>
                <w:color w:val="auto"/>
              </w:rPr>
            </w:pPr>
          </w:p>
        </w:tc>
      </w:tr>
      <w:tr>
        <w:trPr>
          <w:trHeight w:val="243"/>
        </w:trPr>
        <w:tc>
          <w:tcPr>
            <w:tcW w:w="3140" w:type="dxa"/>
            <w:vAlign w:val="bottom"/>
          </w:tcPr>
          <w:p>
            <w:pPr>
              <w:spacing w:after="0" w:line="243" w:lineRule="exact"/>
              <w:rPr>
                <w:sz w:val="20"/>
                <w:szCs w:val="20"/>
                <w:color w:val="auto"/>
              </w:rPr>
            </w:pPr>
            <w:r>
              <w:rPr>
                <w:rFonts w:ascii="Arial" w:cs="Arial" w:eastAsia="Arial" w:hAnsi="Arial"/>
                <w:sz w:val="22"/>
                <w:szCs w:val="22"/>
                <w:b w:val="1"/>
                <w:bCs w:val="1"/>
                <w:color w:val="0033A0"/>
              </w:rPr>
              <w:t>Company Boards:</w:t>
            </w:r>
          </w:p>
        </w:tc>
        <w:tc>
          <w:tcPr>
            <w:tcW w:w="8000" w:type="dxa"/>
            <w:vAlign w:val="bottom"/>
          </w:tcPr>
          <w:p>
            <w:pPr>
              <w:ind w:left="1020"/>
              <w:spacing w:after="0"/>
              <w:rPr>
                <w:sz w:val="20"/>
                <w:szCs w:val="20"/>
                <w:color w:val="auto"/>
              </w:rPr>
            </w:pPr>
            <w:r>
              <w:rPr>
                <w:rFonts w:ascii="Arial" w:cs="Arial" w:eastAsia="Arial" w:hAnsi="Arial"/>
                <w:sz w:val="18"/>
                <w:szCs w:val="18"/>
                <w:color w:val="auto"/>
              </w:rPr>
              <w:t>We believe Ms. Rapp qualifications to sit on our Board include her extensive executive</w:t>
            </w:r>
          </w:p>
        </w:tc>
        <w:tc>
          <w:tcPr>
            <w:tcW w:w="0" w:type="dxa"/>
            <w:vAlign w:val="bottom"/>
          </w:tcPr>
          <w:p>
            <w:pPr>
              <w:spacing w:after="0"/>
              <w:rPr>
                <w:sz w:val="1"/>
                <w:szCs w:val="1"/>
                <w:color w:val="auto"/>
              </w:rPr>
            </w:pPr>
          </w:p>
        </w:tc>
      </w:tr>
      <w:tr>
        <w:trPr>
          <w:trHeight w:val="243"/>
        </w:trPr>
        <w:tc>
          <w:tcPr>
            <w:tcW w:w="11140" w:type="dxa"/>
            <w:vAlign w:val="bottom"/>
            <w:gridSpan w:val="2"/>
          </w:tcPr>
          <w:p>
            <w:pPr>
              <w:spacing w:after="0" w:line="243" w:lineRule="exact"/>
              <w:rPr>
                <w:sz w:val="20"/>
                <w:szCs w:val="20"/>
                <w:color w:val="auto"/>
              </w:rPr>
            </w:pPr>
            <w:r>
              <w:rPr>
                <w:rFonts w:ascii="Arial" w:cs="Arial" w:eastAsia="Arial" w:hAnsi="Arial"/>
                <w:sz w:val="28"/>
                <w:szCs w:val="28"/>
                <w:color w:val="auto"/>
                <w:vertAlign w:val="subscript"/>
              </w:rPr>
              <w:t>Microchip Technology Incorporated, Plexus</w:t>
            </w:r>
            <w:r>
              <w:rPr>
                <w:rFonts w:ascii="Arial" w:cs="Arial" w:eastAsia="Arial" w:hAnsi="Arial"/>
                <w:sz w:val="14"/>
                <w:szCs w:val="14"/>
                <w:color w:val="auto"/>
              </w:rPr>
              <w:t xml:space="preserve"> experience in the semiconductor industry and her experience with financial accounting</w:t>
            </w:r>
          </w:p>
        </w:tc>
        <w:tc>
          <w:tcPr>
            <w:tcW w:w="0" w:type="dxa"/>
            <w:vAlign w:val="bottom"/>
          </w:tcPr>
          <w:p>
            <w:pPr>
              <w:spacing w:after="0"/>
              <w:rPr>
                <w:sz w:val="1"/>
                <w:szCs w:val="1"/>
                <w:color w:val="auto"/>
              </w:rPr>
            </w:pPr>
          </w:p>
        </w:tc>
      </w:tr>
      <w:tr>
        <w:trPr>
          <w:trHeight w:val="116"/>
        </w:trPr>
        <w:tc>
          <w:tcPr>
            <w:tcW w:w="3140" w:type="dxa"/>
            <w:vAlign w:val="bottom"/>
            <w:vMerge w:val="restart"/>
          </w:tcPr>
          <w:p>
            <w:pPr>
              <w:spacing w:after="0"/>
              <w:rPr>
                <w:sz w:val="20"/>
                <w:szCs w:val="20"/>
                <w:color w:val="auto"/>
              </w:rPr>
            </w:pPr>
            <w:r>
              <w:rPr>
                <w:rFonts w:ascii="Arial" w:cs="Arial" w:eastAsia="Arial" w:hAnsi="Arial"/>
                <w:sz w:val="22"/>
                <w:szCs w:val="22"/>
                <w:color w:val="auto"/>
              </w:rPr>
              <w:t>Corp.</w:t>
            </w:r>
          </w:p>
        </w:tc>
        <w:tc>
          <w:tcPr>
            <w:tcW w:w="8000" w:type="dxa"/>
            <w:vAlign w:val="bottom"/>
          </w:tcPr>
          <w:p>
            <w:pPr>
              <w:ind w:left="1020"/>
              <w:spacing w:after="0" w:line="116" w:lineRule="exact"/>
              <w:rPr>
                <w:sz w:val="20"/>
                <w:szCs w:val="20"/>
                <w:color w:val="auto"/>
              </w:rPr>
            </w:pPr>
            <w:r>
              <w:rPr>
                <w:rFonts w:ascii="Arial" w:cs="Arial" w:eastAsia="Arial" w:hAnsi="Arial"/>
                <w:sz w:val="13"/>
                <w:szCs w:val="13"/>
                <w:color w:val="auto"/>
              </w:rPr>
              <w:t>matters for complex global organizations as well as her knowledge of business strategy.</w:t>
            </w:r>
          </w:p>
        </w:tc>
        <w:tc>
          <w:tcPr>
            <w:tcW w:w="0" w:type="dxa"/>
            <w:vAlign w:val="bottom"/>
          </w:tcPr>
          <w:p>
            <w:pPr>
              <w:spacing w:after="0"/>
              <w:rPr>
                <w:sz w:val="1"/>
                <w:szCs w:val="1"/>
                <w:color w:val="auto"/>
              </w:rPr>
            </w:pPr>
          </w:p>
        </w:tc>
      </w:tr>
      <w:tr>
        <w:trPr>
          <w:trHeight w:val="220"/>
        </w:trPr>
        <w:tc>
          <w:tcPr>
            <w:tcW w:w="3140" w:type="dxa"/>
            <w:vAlign w:val="bottom"/>
            <w:vMerge w:val="continue"/>
          </w:tcPr>
          <w:p>
            <w:pPr>
              <w:spacing w:after="0"/>
              <w:rPr>
                <w:sz w:val="19"/>
                <w:szCs w:val="19"/>
                <w:color w:val="auto"/>
              </w:rPr>
            </w:pPr>
          </w:p>
        </w:tc>
        <w:tc>
          <w:tcPr>
            <w:tcW w:w="8000" w:type="dxa"/>
            <w:vAlign w:val="bottom"/>
          </w:tcPr>
          <w:p>
            <w:pPr>
              <w:ind w:left="1020"/>
              <w:spacing w:after="0"/>
              <w:rPr>
                <w:sz w:val="20"/>
                <w:szCs w:val="20"/>
                <w:color w:val="auto"/>
              </w:rPr>
            </w:pPr>
            <w:r>
              <w:rPr>
                <w:rFonts w:ascii="Arial" w:cs="Arial" w:eastAsia="Arial" w:hAnsi="Arial"/>
                <w:sz w:val="18"/>
                <w:szCs w:val="18"/>
                <w:color w:val="auto"/>
              </w:rPr>
              <w:t>Ms. Rapp qualifies as an “audit committee financial expert” under SEC guidelines. Ms.</w:t>
            </w:r>
          </w:p>
        </w:tc>
        <w:tc>
          <w:tcPr>
            <w:tcW w:w="0" w:type="dxa"/>
            <w:vAlign w:val="bottom"/>
          </w:tcPr>
          <w:p>
            <w:pPr>
              <w:spacing w:after="0"/>
              <w:rPr>
                <w:sz w:val="1"/>
                <w:szCs w:val="1"/>
                <w:color w:val="auto"/>
              </w:rPr>
            </w:pPr>
          </w:p>
        </w:tc>
      </w:tr>
    </w:tbl>
    <w:p>
      <w:pPr>
        <w:ind w:left="4160" w:right="40"/>
        <w:spacing w:after="0"/>
        <w:rPr>
          <w:sz w:val="20"/>
          <w:szCs w:val="20"/>
          <w:color w:val="auto"/>
        </w:rPr>
      </w:pPr>
      <w:r>
        <w:rPr>
          <w:rFonts w:ascii="Arial" w:cs="Arial" w:eastAsia="Arial" w:hAnsi="Arial"/>
          <w:sz w:val="18"/>
          <w:szCs w:val="18"/>
          <w:color w:val="auto"/>
        </w:rPr>
        <w:t>Rapp offers a broad perspective in that she has been a member of public company compensation committees and is presently also a member of one public company nominating and governance and sustainability committee. Ms. Rapp has also earned her NACD Director Certification ® credential.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1800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318008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5"/>
          <w:szCs w:val="25"/>
          <w:b w:val="1"/>
          <w:bCs w:val="1"/>
          <w:color w:val="0033A0"/>
        </w:rPr>
        <w:t>Nina L. Richardson</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color w:val="auto"/>
        </w:rPr>
        <w:t>Director since 2019</w:t>
      </w:r>
    </w:p>
    <w:p>
      <w:pPr>
        <w:spacing w:after="0"/>
        <w:rPr>
          <w:sz w:val="20"/>
          <w:szCs w:val="20"/>
          <w:color w:val="auto"/>
        </w:rPr>
      </w:pPr>
      <w:r>
        <w:rPr>
          <w:rFonts w:ascii="Arial" w:cs="Arial" w:eastAsia="Arial" w:hAnsi="Arial"/>
          <w:sz w:val="22"/>
          <w:szCs w:val="22"/>
          <w:color w:val="auto"/>
        </w:rPr>
        <w:t>Age 66</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Board Committees: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Compensation Committee</w:t>
      </w:r>
    </w:p>
    <w:p>
      <w:pPr>
        <w:spacing w:after="0" w:line="171" w:lineRule="exact"/>
        <w:rPr>
          <w:sz w:val="20"/>
          <w:szCs w:val="20"/>
          <w:color w:val="auto"/>
        </w:rPr>
      </w:pPr>
    </w:p>
    <w:p>
      <w:pPr>
        <w:ind w:right="1300"/>
        <w:spacing w:after="0" w:line="252" w:lineRule="auto"/>
        <w:rPr>
          <w:sz w:val="20"/>
          <w:szCs w:val="20"/>
          <w:color w:val="auto"/>
        </w:rPr>
      </w:pPr>
      <w:r>
        <w:rPr>
          <w:rFonts w:ascii="Arial" w:cs="Arial" w:eastAsia="Arial" w:hAnsi="Arial"/>
          <w:sz w:val="21"/>
          <w:szCs w:val="21"/>
          <w:b w:val="1"/>
          <w:bCs w:val="1"/>
          <w:color w:val="0033A0"/>
        </w:rPr>
        <w:t>Other Current Public Company Boards:</w:t>
      </w:r>
    </w:p>
    <w:p>
      <w:pPr>
        <w:spacing w:after="0" w:line="1" w:lineRule="exact"/>
        <w:rPr>
          <w:sz w:val="20"/>
          <w:szCs w:val="20"/>
          <w:color w:val="auto"/>
        </w:rPr>
      </w:pPr>
    </w:p>
    <w:p>
      <w:pPr>
        <w:ind w:right="860"/>
        <w:spacing w:after="0" w:line="263" w:lineRule="auto"/>
        <w:rPr>
          <w:sz w:val="20"/>
          <w:szCs w:val="20"/>
          <w:color w:val="auto"/>
        </w:rPr>
      </w:pPr>
      <w:r>
        <w:rPr>
          <w:rFonts w:ascii="Arial" w:cs="Arial" w:eastAsia="Arial" w:hAnsi="Arial"/>
          <w:sz w:val="21"/>
          <w:szCs w:val="21"/>
          <w:color w:val="auto"/>
        </w:rPr>
        <w:t>Resideo Technologies Inc., Silicon Laboratories Inc.</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0033A0"/>
        </w:rPr>
        <w:t>Business Experience and Other Directorships</w:t>
      </w:r>
    </w:p>
    <w:p>
      <w:pPr>
        <w:spacing w:after="0" w:line="1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Ms. Richardson served as chief operating officer of GoPro, Inc. from February 2013 to February 2015. Prior to that, she held several executive positions of increasing responsibility at Flex Ltd., a global electronics and manufacturing service provider, leading electronics manufacturing operations with over 1000 employees in multiple geographies. More recently, she served as managing director of Three Rivers Energy, Inc., a company she co-founded in 2004, until its sale in October of 2024 to Pilot Power. Ms. Richardson also currently serves as a director of Silicon Laboratories Inc., a position she has held since January 2016; and as a director of Resideo Technologies, Inc., a position she has held since October 2018. She also serves as a director at privately held technology company Tonal, a revolutionary strength and personal training platform and as a member of the board of managers of incubator, ExploraMed V. She previously served as a director at Eargo, Inc. (from2020 to 2022), Zayo Group Holdings, Inc. (from 2015 to 2018), Callidus Software, Inc. (from 2017 to 2018) and Silicon Graphics International Corp. (“SGI”) (2016).</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0033A0"/>
        </w:rPr>
        <w:t>Experience Qualifications and Attributes</w:t>
      </w:r>
    </w:p>
    <w:p>
      <w:pPr>
        <w:spacing w:after="0" w:line="1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believe Ms. Richardson’s qualifications to sit on our Board include her extensive board and executive experience in engineering, manufacturing, sales, supply chain management and global operations. She has held executive positions in a variety of industry sectors including consumer electronics, technology, and manufacturing. Ms. Richardson offers a uniquely broad perspective in that she has been a member of six public company compensation committees and previously served as Chair of two public company nominating and governance committee.</w:t>
      </w:r>
    </w:p>
    <w:p>
      <w:pPr>
        <w:spacing w:after="0" w:line="177" w:lineRule="exact"/>
        <w:rPr>
          <w:sz w:val="20"/>
          <w:szCs w:val="20"/>
          <w:color w:val="auto"/>
        </w:rPr>
      </w:pPr>
    </w:p>
    <w:p>
      <w:pPr>
        <w:sectPr>
          <w:pgSz w:w="11900" w:h="16838" w:orient="portrait"/>
          <w:cols w:equalWidth="0" w:num="2">
            <w:col w:w="3440" w:space="720"/>
            <w:col w:w="7080"/>
          </w:cols>
          <w:pgMar w:left="320" w:top="122" w:right="339" w:bottom="1440" w:gutter="0" w:footer="0" w:header="0"/>
          <w:type w:val="continuous"/>
        </w:sectPr>
      </w:pPr>
    </w:p>
    <w:p>
      <w:pPr>
        <w:spacing w:after="0"/>
        <w:rPr>
          <w:sz w:val="20"/>
          <w:szCs w:val="20"/>
          <w:color w:val="auto"/>
        </w:rPr>
      </w:pPr>
      <w:r>
        <w:rPr>
          <w:rFonts w:ascii="Arial" w:cs="Arial" w:eastAsia="Arial" w:hAnsi="Arial"/>
          <w:sz w:val="22"/>
          <w:szCs w:val="22"/>
          <w:color w:val="0033A0"/>
        </w:rPr>
        <w:t>Directors Whose Term Expires in 2027 - Class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2623820</wp:posOffset>
            </wp:positionH>
            <wp:positionV relativeFrom="paragraph">
              <wp:posOffset>126365</wp:posOffset>
            </wp:positionV>
            <wp:extent cx="34290" cy="16370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163703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Borders>
              <w:top w:val="single" w:sz="8" w:color="2D53A6"/>
            </w:tcBorders>
            <w:shd w:val="clear" w:color="auto" w:fill="E6E6E6"/>
          </w:tcPr>
          <w:p>
            <w:pPr>
              <w:spacing w:after="0"/>
              <w:rPr>
                <w:sz w:val="20"/>
                <w:szCs w:val="20"/>
                <w:color w:val="auto"/>
              </w:rPr>
            </w:pPr>
          </w:p>
        </w:tc>
        <w:tc>
          <w:tcPr>
            <w:tcW w:w="7080" w:type="dxa"/>
            <w:vAlign w:val="bottom"/>
            <w:tcBorders>
              <w:top w:val="single" w:sz="8" w:color="2D53A6"/>
            </w:tcBorders>
          </w:tcPr>
          <w:p>
            <w:pPr>
              <w:spacing w:after="0" w:line="238" w:lineRule="exact"/>
              <w:rPr>
                <w:sz w:val="20"/>
                <w:szCs w:val="20"/>
                <w:color w:val="auto"/>
              </w:rPr>
            </w:pPr>
            <w:r>
              <w:rPr>
                <w:rFonts w:ascii="Arial" w:cs="Arial" w:eastAsia="Arial" w:hAnsi="Arial"/>
                <w:sz w:val="22"/>
                <w:szCs w:val="22"/>
                <w:color w:val="0033A0"/>
              </w:rPr>
              <w:t>Business Experience and Other Directorships</w:t>
            </w:r>
          </w:p>
        </w:tc>
        <w:tc>
          <w:tcPr>
            <w:tcW w:w="0" w:type="dxa"/>
            <w:vAlign w:val="bottom"/>
          </w:tcPr>
          <w:p>
            <w:pPr>
              <w:spacing w:after="0"/>
              <w:rPr>
                <w:sz w:val="1"/>
                <w:szCs w:val="1"/>
                <w:color w:val="auto"/>
              </w:rPr>
            </w:pPr>
          </w:p>
        </w:tc>
      </w:tr>
      <w:tr>
        <w:trPr>
          <w:trHeight w:val="203"/>
        </w:trPr>
        <w:tc>
          <w:tcPr>
            <w:tcW w:w="4160" w:type="dxa"/>
            <w:vAlign w:val="bottom"/>
            <w:vMerge w:val="restart"/>
            <w:shd w:val="clear" w:color="auto" w:fill="E6E6E6"/>
          </w:tcPr>
          <w:p>
            <w:pPr>
              <w:spacing w:after="0"/>
              <w:rPr>
                <w:sz w:val="20"/>
                <w:szCs w:val="20"/>
                <w:color w:val="auto"/>
              </w:rPr>
            </w:pPr>
            <w:r>
              <w:rPr>
                <w:rFonts w:ascii="Arial" w:cs="Arial" w:eastAsia="Arial" w:hAnsi="Arial"/>
                <w:sz w:val="25"/>
                <w:szCs w:val="25"/>
                <w:b w:val="1"/>
                <w:bCs w:val="1"/>
                <w:color w:val="0033A0"/>
              </w:rPr>
              <w:t>Andrew M. Caggia</w:t>
            </w: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Mr. Caggia is the retired Senior Vice President and Chief Financial Officer of SMSC,</w:t>
            </w:r>
          </w:p>
        </w:tc>
        <w:tc>
          <w:tcPr>
            <w:tcW w:w="0" w:type="dxa"/>
            <w:vAlign w:val="bottom"/>
          </w:tcPr>
          <w:p>
            <w:pPr>
              <w:spacing w:after="0"/>
              <w:rPr>
                <w:sz w:val="1"/>
                <w:szCs w:val="1"/>
                <w:color w:val="auto"/>
              </w:rPr>
            </w:pPr>
          </w:p>
        </w:tc>
      </w:tr>
      <w:tr>
        <w:trPr>
          <w:trHeight w:val="114"/>
        </w:trPr>
        <w:tc>
          <w:tcPr>
            <w:tcW w:w="4160" w:type="dxa"/>
            <w:vAlign w:val="bottom"/>
            <w:vMerge w:val="continue"/>
            <w:shd w:val="clear" w:color="auto" w:fill="E6E6E6"/>
          </w:tcPr>
          <w:p>
            <w:pPr>
              <w:spacing w:after="0"/>
              <w:rPr>
                <w:sz w:val="9"/>
                <w:szCs w:val="9"/>
                <w:color w:val="auto"/>
              </w:rPr>
            </w:pPr>
          </w:p>
        </w:tc>
        <w:tc>
          <w:tcPr>
            <w:tcW w:w="7080" w:type="dxa"/>
            <w:vAlign w:val="bottom"/>
            <w:vMerge w:val="restart"/>
          </w:tcPr>
          <w:p>
            <w:pPr>
              <w:spacing w:after="0" w:line="202" w:lineRule="exact"/>
              <w:rPr>
                <w:sz w:val="20"/>
                <w:szCs w:val="20"/>
                <w:color w:val="auto"/>
              </w:rPr>
            </w:pPr>
            <w:r>
              <w:rPr>
                <w:rFonts w:ascii="Arial" w:cs="Arial" w:eastAsia="Arial" w:hAnsi="Arial"/>
                <w:sz w:val="18"/>
                <w:szCs w:val="18"/>
                <w:color w:val="auto"/>
              </w:rPr>
              <w:t>where he worked from 2000 until his retirement in 2006. Mr. Caggia also served as a</w:t>
            </w:r>
          </w:p>
        </w:tc>
        <w:tc>
          <w:tcPr>
            <w:tcW w:w="0" w:type="dxa"/>
            <w:vAlign w:val="bottom"/>
          </w:tcPr>
          <w:p>
            <w:pPr>
              <w:spacing w:after="0"/>
              <w:rPr>
                <w:sz w:val="1"/>
                <w:szCs w:val="1"/>
                <w:color w:val="auto"/>
              </w:rPr>
            </w:pPr>
          </w:p>
        </w:tc>
      </w:tr>
      <w:tr>
        <w:trPr>
          <w:trHeight w:val="89"/>
        </w:trPr>
        <w:tc>
          <w:tcPr>
            <w:tcW w:w="4160" w:type="dxa"/>
            <w:vAlign w:val="bottom"/>
            <w:vMerge w:val="restart"/>
            <w:shd w:val="clear" w:color="auto" w:fill="E6E6E6"/>
          </w:tcPr>
          <w:p>
            <w:pPr>
              <w:spacing w:after="0"/>
              <w:rPr>
                <w:sz w:val="20"/>
                <w:szCs w:val="20"/>
                <w:color w:val="auto"/>
              </w:rPr>
            </w:pPr>
            <w:r>
              <w:rPr>
                <w:rFonts w:ascii="Arial" w:cs="Arial" w:eastAsia="Arial" w:hAnsi="Arial"/>
                <w:sz w:val="22"/>
                <w:szCs w:val="22"/>
                <w:color w:val="auto"/>
              </w:rPr>
              <w:t>Director since 2014</w:t>
            </w:r>
          </w:p>
        </w:tc>
        <w:tc>
          <w:tcPr>
            <w:tcW w:w="7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4160" w:type="dxa"/>
            <w:vAlign w:val="bottom"/>
            <w:vMerge w:val="continue"/>
            <w:shd w:val="clear" w:color="auto" w:fill="E6E6E6"/>
          </w:tcPr>
          <w:p>
            <w:pPr>
              <w:spacing w:after="0"/>
              <w:rPr>
                <w:sz w:val="15"/>
                <w:szCs w:val="15"/>
                <w:color w:val="auto"/>
              </w:rPr>
            </w:pPr>
          </w:p>
        </w:tc>
        <w:tc>
          <w:tcPr>
            <w:tcW w:w="7080" w:type="dxa"/>
            <w:vAlign w:val="bottom"/>
          </w:tcPr>
          <w:p>
            <w:pPr>
              <w:spacing w:after="0" w:line="181" w:lineRule="exact"/>
              <w:rPr>
                <w:sz w:val="20"/>
                <w:szCs w:val="20"/>
                <w:color w:val="auto"/>
              </w:rPr>
            </w:pPr>
            <w:r>
              <w:rPr>
                <w:rFonts w:ascii="Arial" w:cs="Arial" w:eastAsia="Arial" w:hAnsi="Arial"/>
                <w:sz w:val="18"/>
                <w:szCs w:val="18"/>
                <w:color w:val="auto"/>
              </w:rPr>
              <w:t>director of SMSC from 2001 until its purchase by Microchip Technology Incorporated in</w:t>
            </w:r>
          </w:p>
        </w:tc>
        <w:tc>
          <w:tcPr>
            <w:tcW w:w="0" w:type="dxa"/>
            <w:vAlign w:val="bottom"/>
          </w:tcPr>
          <w:p>
            <w:pPr>
              <w:spacing w:after="0"/>
              <w:rPr>
                <w:sz w:val="1"/>
                <w:szCs w:val="1"/>
                <w:color w:val="auto"/>
              </w:rPr>
            </w:pPr>
          </w:p>
        </w:tc>
      </w:tr>
      <w:tr>
        <w:trPr>
          <w:trHeight w:val="224"/>
        </w:trPr>
        <w:tc>
          <w:tcPr>
            <w:tcW w:w="4160" w:type="dxa"/>
            <w:vAlign w:val="bottom"/>
            <w:shd w:val="clear" w:color="auto" w:fill="E6E6E6"/>
          </w:tcPr>
          <w:p>
            <w:pPr>
              <w:spacing w:after="0" w:line="224" w:lineRule="exact"/>
              <w:rPr>
                <w:sz w:val="20"/>
                <w:szCs w:val="20"/>
                <w:color w:val="auto"/>
              </w:rPr>
            </w:pPr>
            <w:r>
              <w:rPr>
                <w:rFonts w:ascii="Arial" w:cs="Arial" w:eastAsia="Arial" w:hAnsi="Arial"/>
                <w:sz w:val="22"/>
                <w:szCs w:val="22"/>
                <w:color w:val="auto"/>
              </w:rPr>
              <w:t>Age 76</w:t>
            </w:r>
          </w:p>
        </w:tc>
        <w:tc>
          <w:tcPr>
            <w:tcW w:w="7080" w:type="dxa"/>
            <w:vAlign w:val="bottom"/>
          </w:tcPr>
          <w:p>
            <w:pPr>
              <w:spacing w:after="0"/>
              <w:rPr>
                <w:sz w:val="20"/>
                <w:szCs w:val="20"/>
                <w:color w:val="auto"/>
              </w:rPr>
            </w:pPr>
            <w:r>
              <w:rPr>
                <w:rFonts w:ascii="Arial" w:cs="Arial" w:eastAsia="Arial" w:hAnsi="Arial"/>
                <w:sz w:val="18"/>
                <w:szCs w:val="18"/>
                <w:color w:val="auto"/>
              </w:rPr>
              <w:t>2012. Prior to SMSC, Mr. Caggia was Senior Vice President and Chief Financial Officer</w:t>
            </w:r>
          </w:p>
        </w:tc>
        <w:tc>
          <w:tcPr>
            <w:tcW w:w="0" w:type="dxa"/>
            <w:vAlign w:val="bottom"/>
          </w:tcPr>
          <w:p>
            <w:pPr>
              <w:spacing w:after="0"/>
              <w:rPr>
                <w:sz w:val="1"/>
                <w:szCs w:val="1"/>
                <w:color w:val="auto"/>
              </w:rPr>
            </w:pPr>
          </w:p>
        </w:tc>
      </w:tr>
      <w:tr>
        <w:trPr>
          <w:trHeight w:val="239"/>
        </w:trPr>
        <w:tc>
          <w:tcPr>
            <w:tcW w:w="4160" w:type="dxa"/>
            <w:vAlign w:val="bottom"/>
            <w:vMerge w:val="restart"/>
            <w:shd w:val="clear" w:color="auto" w:fill="E6E6E6"/>
          </w:tcPr>
          <w:p>
            <w:pPr>
              <w:spacing w:after="0"/>
              <w:rPr>
                <w:sz w:val="20"/>
                <w:szCs w:val="20"/>
                <w:color w:val="auto"/>
              </w:rPr>
            </w:pPr>
            <w:r>
              <w:rPr>
                <w:rFonts w:ascii="Arial" w:cs="Arial" w:eastAsia="Arial" w:hAnsi="Arial"/>
                <w:sz w:val="22"/>
                <w:szCs w:val="22"/>
                <w:b w:val="1"/>
                <w:bCs w:val="1"/>
                <w:color w:val="0033A0"/>
              </w:rPr>
              <w:t>Board Committees:</w:t>
            </w:r>
          </w:p>
        </w:tc>
        <w:tc>
          <w:tcPr>
            <w:tcW w:w="7080" w:type="dxa"/>
            <w:vAlign w:val="bottom"/>
          </w:tcPr>
          <w:p>
            <w:pPr>
              <w:spacing w:after="0"/>
              <w:rPr>
                <w:sz w:val="20"/>
                <w:szCs w:val="20"/>
                <w:color w:val="auto"/>
              </w:rPr>
            </w:pPr>
            <w:r>
              <w:rPr>
                <w:rFonts w:ascii="Arial" w:cs="Arial" w:eastAsia="Arial" w:hAnsi="Arial"/>
                <w:sz w:val="18"/>
                <w:szCs w:val="18"/>
                <w:color w:val="auto"/>
              </w:rPr>
              <w:t>of General Semiconductor, Inc. from 1997 to 2000.</w:t>
            </w:r>
          </w:p>
        </w:tc>
        <w:tc>
          <w:tcPr>
            <w:tcW w:w="0" w:type="dxa"/>
            <w:vAlign w:val="bottom"/>
          </w:tcPr>
          <w:p>
            <w:pPr>
              <w:spacing w:after="0"/>
              <w:rPr>
                <w:sz w:val="1"/>
                <w:szCs w:val="1"/>
                <w:color w:val="auto"/>
              </w:rPr>
            </w:pPr>
          </w:p>
        </w:tc>
      </w:tr>
      <w:tr>
        <w:trPr>
          <w:trHeight w:val="199"/>
        </w:trPr>
        <w:tc>
          <w:tcPr>
            <w:tcW w:w="4160" w:type="dxa"/>
            <w:vAlign w:val="bottom"/>
            <w:vMerge w:val="continue"/>
            <w:shd w:val="clear" w:color="auto" w:fill="E6E6E6"/>
          </w:tcPr>
          <w:p>
            <w:pPr>
              <w:spacing w:after="0"/>
              <w:rPr>
                <w:sz w:val="17"/>
                <w:szCs w:val="17"/>
                <w:color w:val="auto"/>
              </w:rPr>
            </w:pPr>
          </w:p>
        </w:tc>
        <w:tc>
          <w:tcPr>
            <w:tcW w:w="7080" w:type="dxa"/>
            <w:vAlign w:val="bottom"/>
            <w:vMerge w:val="restart"/>
          </w:tcPr>
          <w:p>
            <w:pPr>
              <w:spacing w:after="0"/>
              <w:rPr>
                <w:sz w:val="20"/>
                <w:szCs w:val="20"/>
                <w:color w:val="auto"/>
              </w:rPr>
            </w:pPr>
            <w:r>
              <w:rPr>
                <w:rFonts w:ascii="Arial" w:cs="Arial" w:eastAsia="Arial" w:hAnsi="Arial"/>
                <w:sz w:val="22"/>
                <w:szCs w:val="22"/>
                <w:color w:val="0033A0"/>
              </w:rPr>
              <w:t>Experience Qualifications and Attributes</w:t>
            </w:r>
          </w:p>
        </w:tc>
        <w:tc>
          <w:tcPr>
            <w:tcW w:w="0" w:type="dxa"/>
            <w:vAlign w:val="bottom"/>
          </w:tcPr>
          <w:p>
            <w:pPr>
              <w:spacing w:after="0"/>
              <w:rPr>
                <w:sz w:val="1"/>
                <w:szCs w:val="1"/>
                <w:color w:val="auto"/>
              </w:rPr>
            </w:pPr>
          </w:p>
        </w:tc>
      </w:tr>
      <w:tr>
        <w:trPr>
          <w:trHeight w:val="215"/>
        </w:trPr>
        <w:tc>
          <w:tcPr>
            <w:tcW w:w="4160" w:type="dxa"/>
            <w:vAlign w:val="bottom"/>
            <w:shd w:val="clear" w:color="auto" w:fill="E6E6E6"/>
          </w:tcPr>
          <w:p>
            <w:pPr>
              <w:spacing w:after="0" w:line="216" w:lineRule="exact"/>
              <w:rPr>
                <w:sz w:val="20"/>
                <w:szCs w:val="20"/>
                <w:color w:val="auto"/>
              </w:rPr>
            </w:pPr>
            <w:r>
              <w:rPr>
                <w:rFonts w:ascii="Arial" w:cs="Arial" w:eastAsia="Arial" w:hAnsi="Arial"/>
                <w:sz w:val="22"/>
                <w:szCs w:val="22"/>
                <w:color w:val="auto"/>
              </w:rPr>
              <w:t>Audit Committee</w:t>
            </w:r>
          </w:p>
        </w:tc>
        <w:tc>
          <w:tcPr>
            <w:tcW w:w="7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E6E6E6"/>
          </w:tcPr>
          <w:p>
            <w:pPr>
              <w:spacing w:after="0" w:line="243" w:lineRule="exact"/>
              <w:rPr>
                <w:sz w:val="20"/>
                <w:szCs w:val="20"/>
                <w:color w:val="auto"/>
              </w:rPr>
            </w:pPr>
            <w:r>
              <w:rPr>
                <w:rFonts w:ascii="Arial" w:cs="Arial" w:eastAsia="Arial" w:hAnsi="Arial"/>
                <w:sz w:val="22"/>
                <w:szCs w:val="22"/>
                <w:color w:val="auto"/>
              </w:rPr>
              <w:t>Nominating and Governance</w:t>
            </w:r>
          </w:p>
        </w:tc>
        <w:tc>
          <w:tcPr>
            <w:tcW w:w="7080" w:type="dxa"/>
            <w:vAlign w:val="bottom"/>
          </w:tcPr>
          <w:p>
            <w:pPr>
              <w:spacing w:after="0"/>
              <w:rPr>
                <w:sz w:val="20"/>
                <w:szCs w:val="20"/>
                <w:color w:val="auto"/>
              </w:rPr>
            </w:pPr>
            <w:r>
              <w:rPr>
                <w:rFonts w:ascii="Arial" w:cs="Arial" w:eastAsia="Arial" w:hAnsi="Arial"/>
                <w:sz w:val="18"/>
                <w:szCs w:val="18"/>
                <w:color w:val="auto"/>
                <w:w w:val="99"/>
              </w:rPr>
              <w:t>We believe Mr. Caggia’s qualifications to sit on our Board include his extensive executive</w:t>
            </w:r>
          </w:p>
        </w:tc>
        <w:tc>
          <w:tcPr>
            <w:tcW w:w="0" w:type="dxa"/>
            <w:vAlign w:val="bottom"/>
          </w:tcPr>
          <w:p>
            <w:pPr>
              <w:spacing w:after="0"/>
              <w:rPr>
                <w:sz w:val="1"/>
                <w:szCs w:val="1"/>
                <w:color w:val="auto"/>
              </w:rPr>
            </w:pPr>
          </w:p>
        </w:tc>
      </w:tr>
      <w:tr>
        <w:trPr>
          <w:trHeight w:val="157"/>
        </w:trPr>
        <w:tc>
          <w:tcPr>
            <w:tcW w:w="4160" w:type="dxa"/>
            <w:vAlign w:val="bottom"/>
            <w:vMerge w:val="restart"/>
            <w:shd w:val="clear" w:color="auto" w:fill="E6E6E6"/>
          </w:tcPr>
          <w:p>
            <w:pPr>
              <w:spacing w:after="0"/>
              <w:rPr>
                <w:sz w:val="20"/>
                <w:szCs w:val="20"/>
                <w:color w:val="auto"/>
              </w:rPr>
            </w:pPr>
            <w:r>
              <w:rPr>
                <w:rFonts w:ascii="Arial" w:cs="Arial" w:eastAsia="Arial" w:hAnsi="Arial"/>
                <w:sz w:val="22"/>
                <w:szCs w:val="22"/>
                <w:color w:val="auto"/>
              </w:rPr>
              <w:t>(Chair)</w:t>
            </w:r>
          </w:p>
        </w:tc>
        <w:tc>
          <w:tcPr>
            <w:tcW w:w="7080" w:type="dxa"/>
            <w:vAlign w:val="bottom"/>
          </w:tcPr>
          <w:p>
            <w:pPr>
              <w:spacing w:after="0" w:line="157" w:lineRule="exact"/>
              <w:rPr>
                <w:sz w:val="20"/>
                <w:szCs w:val="20"/>
                <w:color w:val="auto"/>
              </w:rPr>
            </w:pPr>
            <w:r>
              <w:rPr>
                <w:rFonts w:ascii="Arial" w:cs="Arial" w:eastAsia="Arial" w:hAnsi="Arial"/>
                <w:sz w:val="18"/>
                <w:szCs w:val="18"/>
                <w:color w:val="auto"/>
              </w:rPr>
              <w:t>experience in the semiconductor industry and his experience with financial accounting</w:t>
            </w:r>
          </w:p>
        </w:tc>
        <w:tc>
          <w:tcPr>
            <w:tcW w:w="0" w:type="dxa"/>
            <w:vAlign w:val="bottom"/>
          </w:tcPr>
          <w:p>
            <w:pPr>
              <w:spacing w:after="0"/>
              <w:rPr>
                <w:sz w:val="1"/>
                <w:szCs w:val="1"/>
                <w:color w:val="auto"/>
              </w:rPr>
            </w:pPr>
          </w:p>
        </w:tc>
      </w:tr>
      <w:tr>
        <w:trPr>
          <w:trHeight w:val="154"/>
        </w:trPr>
        <w:tc>
          <w:tcPr>
            <w:tcW w:w="4160" w:type="dxa"/>
            <w:vAlign w:val="bottom"/>
            <w:vMerge w:val="continue"/>
            <w:shd w:val="clear" w:color="auto" w:fill="E6E6E6"/>
          </w:tcPr>
          <w:p>
            <w:pPr>
              <w:spacing w:after="0"/>
              <w:rPr>
                <w:sz w:val="13"/>
                <w:szCs w:val="13"/>
                <w:color w:val="auto"/>
              </w:rPr>
            </w:pPr>
          </w:p>
        </w:tc>
        <w:tc>
          <w:tcPr>
            <w:tcW w:w="7080" w:type="dxa"/>
            <w:vAlign w:val="bottom"/>
            <w:vMerge w:val="restart"/>
          </w:tcPr>
          <w:p>
            <w:pPr>
              <w:spacing w:after="0" w:line="202" w:lineRule="exact"/>
              <w:rPr>
                <w:sz w:val="20"/>
                <w:szCs w:val="20"/>
                <w:color w:val="auto"/>
              </w:rPr>
            </w:pPr>
            <w:r>
              <w:rPr>
                <w:rFonts w:ascii="Arial" w:cs="Arial" w:eastAsia="Arial" w:hAnsi="Arial"/>
                <w:sz w:val="18"/>
                <w:szCs w:val="18"/>
                <w:color w:val="auto"/>
              </w:rPr>
              <w:t>matters for complex global organizations as well as his knowledge of business strategy.</w:t>
            </w:r>
          </w:p>
        </w:tc>
        <w:tc>
          <w:tcPr>
            <w:tcW w:w="0" w:type="dxa"/>
            <w:vAlign w:val="bottom"/>
          </w:tcPr>
          <w:p>
            <w:pPr>
              <w:spacing w:after="0"/>
              <w:rPr>
                <w:sz w:val="1"/>
                <w:szCs w:val="1"/>
                <w:color w:val="auto"/>
              </w:rPr>
            </w:pPr>
          </w:p>
        </w:tc>
      </w:tr>
      <w:tr>
        <w:trPr>
          <w:trHeight w:val="48"/>
        </w:trPr>
        <w:tc>
          <w:tcPr>
            <w:tcW w:w="4160" w:type="dxa"/>
            <w:vAlign w:val="bottom"/>
            <w:shd w:val="clear" w:color="auto" w:fill="E6E6E6"/>
          </w:tcPr>
          <w:p>
            <w:pPr>
              <w:spacing w:after="0"/>
              <w:rPr>
                <w:sz w:val="4"/>
                <w:szCs w:val="4"/>
                <w:color w:val="auto"/>
              </w:rPr>
            </w:pPr>
          </w:p>
        </w:tc>
        <w:tc>
          <w:tcPr>
            <w:tcW w:w="7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4160" w:type="dxa"/>
            <w:vAlign w:val="bottom"/>
            <w:tcBorders>
              <w:bottom w:val="single" w:sz="8" w:color="2D53A6"/>
            </w:tcBorders>
            <w:shd w:val="clear" w:color="auto" w:fill="E6E6E6"/>
          </w:tcPr>
          <w:p>
            <w:pPr>
              <w:spacing w:after="0"/>
              <w:rPr>
                <w:sz w:val="19"/>
                <w:szCs w:val="19"/>
                <w:color w:val="auto"/>
              </w:rPr>
            </w:pPr>
          </w:p>
        </w:tc>
        <w:tc>
          <w:tcPr>
            <w:tcW w:w="708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Mr. Caggia qualifies as an “audit committee financial expert” under SEC guidelines.</w:t>
            </w:r>
          </w:p>
        </w:tc>
        <w:tc>
          <w:tcPr>
            <w:tcW w:w="0" w:type="dxa"/>
            <w:vAlign w:val="bottom"/>
          </w:tcPr>
          <w:p>
            <w:pPr>
              <w:spacing w:after="0"/>
              <w:rPr>
                <w:sz w:val="1"/>
                <w:szCs w:val="1"/>
                <w:color w:val="auto"/>
              </w:rPr>
            </w:pPr>
          </w:p>
        </w:tc>
      </w:tr>
      <w:tr>
        <w:trPr>
          <w:trHeight w:val="416"/>
        </w:trPr>
        <w:tc>
          <w:tcPr>
            <w:tcW w:w="4160" w:type="dxa"/>
            <w:vAlign w:val="bottom"/>
          </w:tcPr>
          <w:p>
            <w:pPr>
              <w:spacing w:after="0"/>
              <w:rPr>
                <w:sz w:val="24"/>
                <w:szCs w:val="24"/>
                <w:color w:val="auto"/>
              </w:rPr>
            </w:pPr>
          </w:p>
        </w:tc>
        <w:tc>
          <w:tcPr>
            <w:tcW w:w="7080" w:type="dxa"/>
            <w:vAlign w:val="bottom"/>
          </w:tcPr>
          <w:p>
            <w:pPr>
              <w:ind w:left="13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98"/>
        </w:trPr>
        <w:tc>
          <w:tcPr>
            <w:tcW w:w="4160" w:type="dxa"/>
            <w:vAlign w:val="bottom"/>
            <w:tcBorders>
              <w:bottom w:val="single" w:sz="8" w:color="auto"/>
            </w:tcBorders>
          </w:tcPr>
          <w:p>
            <w:pPr>
              <w:spacing w:after="0"/>
              <w:rPr>
                <w:sz w:val="8"/>
                <w:szCs w:val="8"/>
                <w:color w:val="auto"/>
              </w:rPr>
            </w:pPr>
          </w:p>
        </w:tc>
        <w:tc>
          <w:tcPr>
            <w:tcW w:w="7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26657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266573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0033A0"/>
        </w:rPr>
        <w:t>Yon Y. Jorden</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color w:val="auto"/>
        </w:rPr>
        <w:t>Director since 2021</w:t>
      </w:r>
    </w:p>
    <w:p>
      <w:pPr>
        <w:spacing w:after="0"/>
        <w:rPr>
          <w:sz w:val="20"/>
          <w:szCs w:val="20"/>
          <w:color w:val="auto"/>
        </w:rPr>
      </w:pPr>
      <w:r>
        <w:rPr>
          <w:rFonts w:ascii="Arial" w:cs="Arial" w:eastAsia="Arial" w:hAnsi="Arial"/>
          <w:sz w:val="22"/>
          <w:szCs w:val="22"/>
          <w:color w:val="auto"/>
        </w:rPr>
        <w:t>Age 70</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33A0"/>
        </w:rPr>
        <w:t>Board Committees:</w:t>
      </w:r>
    </w:p>
    <w:p>
      <w:pPr>
        <w:spacing w:after="0" w:line="12" w:lineRule="exact"/>
        <w:rPr>
          <w:sz w:val="20"/>
          <w:szCs w:val="20"/>
          <w:color w:val="auto"/>
        </w:rPr>
      </w:pPr>
    </w:p>
    <w:p>
      <w:pPr>
        <w:ind w:right="820"/>
        <w:spacing w:after="0" w:line="263" w:lineRule="auto"/>
        <w:rPr>
          <w:sz w:val="20"/>
          <w:szCs w:val="20"/>
          <w:color w:val="auto"/>
        </w:rPr>
      </w:pPr>
      <w:r>
        <w:rPr>
          <w:rFonts w:ascii="Arial" w:cs="Arial" w:eastAsia="Arial" w:hAnsi="Arial"/>
          <w:sz w:val="21"/>
          <w:szCs w:val="21"/>
          <w:color w:val="auto"/>
        </w:rPr>
        <w:t>Audit Committee Nominating and Governance</w:t>
      </w:r>
    </w:p>
    <w:p>
      <w:pPr>
        <w:spacing w:after="0" w:line="137" w:lineRule="exact"/>
        <w:rPr>
          <w:sz w:val="20"/>
          <w:szCs w:val="20"/>
          <w:color w:val="auto"/>
        </w:rPr>
      </w:pPr>
    </w:p>
    <w:p>
      <w:pPr>
        <w:ind w:right="1440"/>
        <w:spacing w:after="0" w:line="252" w:lineRule="auto"/>
        <w:rPr>
          <w:sz w:val="20"/>
          <w:szCs w:val="20"/>
          <w:color w:val="auto"/>
        </w:rPr>
      </w:pPr>
      <w:r>
        <w:rPr>
          <w:rFonts w:ascii="Arial" w:cs="Arial" w:eastAsia="Arial" w:hAnsi="Arial"/>
          <w:sz w:val="21"/>
          <w:szCs w:val="21"/>
          <w:b w:val="1"/>
          <w:bCs w:val="1"/>
          <w:color w:val="0033A0"/>
        </w:rPr>
        <w:t>Other Current Public Company Boards: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Alignment Healthcare, Inc., Capstone Green Energy Corp.</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0033A0"/>
        </w:rPr>
        <w:t>Business Experience and Other Directorships</w:t>
      </w:r>
    </w:p>
    <w:p>
      <w:pPr>
        <w:spacing w:after="0" w:line="1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Ms. Jorden is the retired Executive Vice President and Chief Financial Officer of AdvancePCS, a position she held from 2002 to 2004. Prior to that she served as chief financial officer of three other publicly traded companies: Informix, Oxford Health Plans and WellPoint, Inc. She currently serves as a director and is Chair of the audit committee of Alignment Healthcare, Inc., a position she has held since January 2022, and as a director for the not-for-profit Methodist Health System, a position she has held since 2008. She previously served as a director at Capstone Green Energy (from 2017 to 2025), Maxwell Technologies (from 2008 to 2017), BioScrip (from 2014 to 2015), Magnetek, Inc. (from 2004 to 2013) and U.S. Oncology (from 2008 to 2010).</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0033A0"/>
        </w:rPr>
        <w:t>Experience Qualifications and Attributes</w:t>
      </w:r>
    </w:p>
    <w:p>
      <w:pPr>
        <w:spacing w:after="0" w:line="1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believe Ms. Jorden’s qualifications to sit on our Board include her extensive board and financial executive experience across several industries and her experience with financial accounting matters for complex global organizations. Ms. Jorden qualifies as an “audit committee financial expert” under SEC guidelines. She has vast experience serving on seven different public company boards, including time serving as the chairperson of audit, compensation and nominating and governance committees. Ms. Jorden is also a board leadership fellow of the National Association of Corporate Directors, demonstrating her commitment and leadership as a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115570</wp:posOffset>
            </wp:positionV>
            <wp:extent cx="34290" cy="20224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2022475"/>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3580" w:space="580"/>
            <w:col w:w="708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4160" w:type="dxa"/>
            <w:vAlign w:val="bottom"/>
            <w:tcBorders>
              <w:top w:val="single" w:sz="8" w:color="2D53A6"/>
            </w:tcBorders>
            <w:shd w:val="clear" w:color="auto" w:fill="E6E6E6"/>
          </w:tcPr>
          <w:p>
            <w:pPr>
              <w:spacing w:after="0"/>
              <w:rPr>
                <w:sz w:val="20"/>
                <w:szCs w:val="20"/>
                <w:color w:val="auto"/>
              </w:rPr>
            </w:pPr>
          </w:p>
        </w:tc>
        <w:tc>
          <w:tcPr>
            <w:tcW w:w="7080" w:type="dxa"/>
            <w:vAlign w:val="bottom"/>
            <w:tcBorders>
              <w:top w:val="single" w:sz="8" w:color="2D53A6"/>
            </w:tcBorders>
          </w:tcPr>
          <w:p>
            <w:pPr>
              <w:spacing w:after="0" w:line="238" w:lineRule="exact"/>
              <w:rPr>
                <w:sz w:val="20"/>
                <w:szCs w:val="20"/>
                <w:color w:val="auto"/>
              </w:rPr>
            </w:pPr>
            <w:r>
              <w:rPr>
                <w:rFonts w:ascii="Arial" w:cs="Arial" w:eastAsia="Arial" w:hAnsi="Arial"/>
                <w:sz w:val="22"/>
                <w:szCs w:val="22"/>
                <w:color w:val="0033A0"/>
              </w:rPr>
              <w:t>Business Experience and Other Directorships</w:t>
            </w:r>
          </w:p>
        </w:tc>
        <w:tc>
          <w:tcPr>
            <w:tcW w:w="0" w:type="dxa"/>
            <w:vAlign w:val="bottom"/>
          </w:tcPr>
          <w:p>
            <w:pPr>
              <w:spacing w:after="0"/>
              <w:rPr>
                <w:sz w:val="1"/>
                <w:szCs w:val="1"/>
                <w:color w:val="auto"/>
              </w:rPr>
            </w:pPr>
          </w:p>
        </w:tc>
      </w:tr>
      <w:tr>
        <w:trPr>
          <w:trHeight w:val="203"/>
        </w:trPr>
        <w:tc>
          <w:tcPr>
            <w:tcW w:w="4160" w:type="dxa"/>
            <w:vAlign w:val="bottom"/>
            <w:shd w:val="clear" w:color="auto" w:fill="E6E6E6"/>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Dr. Müller has been the President and Chief Executive Officer of Cohu since</w:t>
            </w:r>
          </w:p>
        </w:tc>
        <w:tc>
          <w:tcPr>
            <w:tcW w:w="0" w:type="dxa"/>
            <w:vAlign w:val="bottom"/>
          </w:tcPr>
          <w:p>
            <w:pPr>
              <w:spacing w:after="0"/>
              <w:rPr>
                <w:sz w:val="1"/>
                <w:szCs w:val="1"/>
                <w:color w:val="auto"/>
              </w:rPr>
            </w:pPr>
          </w:p>
        </w:tc>
      </w:tr>
      <w:tr>
        <w:trPr>
          <w:trHeight w:val="203"/>
        </w:trPr>
        <w:tc>
          <w:tcPr>
            <w:tcW w:w="4160" w:type="dxa"/>
            <w:vAlign w:val="bottom"/>
            <w:shd w:val="clear" w:color="auto" w:fill="E6E6E6"/>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December 28, 2014. He also currently serves as a director of Celestica Inc., a position</w:t>
            </w:r>
          </w:p>
        </w:tc>
        <w:tc>
          <w:tcPr>
            <w:tcW w:w="0" w:type="dxa"/>
            <w:vAlign w:val="bottom"/>
          </w:tcPr>
          <w:p>
            <w:pPr>
              <w:spacing w:after="0"/>
              <w:rPr>
                <w:sz w:val="1"/>
                <w:szCs w:val="1"/>
                <w:color w:val="auto"/>
              </w:rPr>
            </w:pPr>
          </w:p>
        </w:tc>
      </w:tr>
      <w:tr>
        <w:trPr>
          <w:trHeight w:val="203"/>
        </w:trPr>
        <w:tc>
          <w:tcPr>
            <w:tcW w:w="4160" w:type="dxa"/>
            <w:vAlign w:val="bottom"/>
            <w:vMerge w:val="restart"/>
            <w:shd w:val="clear" w:color="auto" w:fill="E6E6E6"/>
          </w:tcPr>
          <w:p>
            <w:pPr>
              <w:spacing w:after="0"/>
              <w:rPr>
                <w:sz w:val="20"/>
                <w:szCs w:val="20"/>
                <w:color w:val="auto"/>
              </w:rPr>
            </w:pPr>
            <w:r>
              <w:rPr>
                <w:rFonts w:ascii="Arial" w:cs="Arial" w:eastAsia="Arial" w:hAnsi="Arial"/>
                <w:sz w:val="25"/>
                <w:szCs w:val="25"/>
                <w:b w:val="1"/>
                <w:bCs w:val="1"/>
                <w:color w:val="0033A0"/>
              </w:rPr>
              <w:t>Luis A. M</w:t>
            </w:r>
            <w:r>
              <w:rPr>
                <w:rFonts w:ascii="Arial" w:cs="Arial" w:eastAsia="Arial" w:hAnsi="Arial"/>
                <w:sz w:val="25"/>
                <w:szCs w:val="25"/>
                <w:color w:val="0033A0"/>
              </w:rPr>
              <w:t>ü</w:t>
            </w:r>
            <w:r>
              <w:rPr>
                <w:rFonts w:ascii="Arial" w:cs="Arial" w:eastAsia="Arial" w:hAnsi="Arial"/>
                <w:sz w:val="25"/>
                <w:szCs w:val="25"/>
                <w:b w:val="1"/>
                <w:bCs w:val="1"/>
                <w:color w:val="0033A0"/>
              </w:rPr>
              <w:t>ller</w:t>
            </w: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he has held since August 2021. His previous roles at Cohu include serving as President</w:t>
            </w:r>
          </w:p>
        </w:tc>
        <w:tc>
          <w:tcPr>
            <w:tcW w:w="0" w:type="dxa"/>
            <w:vAlign w:val="bottom"/>
          </w:tcPr>
          <w:p>
            <w:pPr>
              <w:spacing w:after="0"/>
              <w:rPr>
                <w:sz w:val="1"/>
                <w:szCs w:val="1"/>
                <w:color w:val="auto"/>
              </w:rPr>
            </w:pPr>
          </w:p>
        </w:tc>
      </w:tr>
      <w:tr>
        <w:trPr>
          <w:trHeight w:val="181"/>
        </w:trPr>
        <w:tc>
          <w:tcPr>
            <w:tcW w:w="4160" w:type="dxa"/>
            <w:vAlign w:val="bottom"/>
            <w:vMerge w:val="continue"/>
            <w:shd w:val="clear" w:color="auto" w:fill="E6E6E6"/>
          </w:tcPr>
          <w:p>
            <w:pPr>
              <w:spacing w:after="0"/>
              <w:rPr>
                <w:sz w:val="15"/>
                <w:szCs w:val="15"/>
                <w:color w:val="auto"/>
              </w:rPr>
            </w:pPr>
          </w:p>
        </w:tc>
        <w:tc>
          <w:tcPr>
            <w:tcW w:w="7080" w:type="dxa"/>
            <w:vAlign w:val="bottom"/>
          </w:tcPr>
          <w:p>
            <w:pPr>
              <w:spacing w:after="0" w:line="181" w:lineRule="exact"/>
              <w:rPr>
                <w:sz w:val="20"/>
                <w:szCs w:val="20"/>
                <w:color w:val="auto"/>
              </w:rPr>
            </w:pPr>
            <w:r>
              <w:rPr>
                <w:rFonts w:ascii="Arial" w:cs="Arial" w:eastAsia="Arial" w:hAnsi="Arial"/>
                <w:sz w:val="18"/>
                <w:szCs w:val="18"/>
                <w:color w:val="auto"/>
              </w:rPr>
              <w:t>of Cohu’s Semiconductor Equipment Group (“SEG”) from 2011 to 2014; Managing</w:t>
            </w:r>
          </w:p>
        </w:tc>
        <w:tc>
          <w:tcPr>
            <w:tcW w:w="0" w:type="dxa"/>
            <w:vAlign w:val="bottom"/>
          </w:tcPr>
          <w:p>
            <w:pPr>
              <w:spacing w:after="0"/>
              <w:rPr>
                <w:sz w:val="1"/>
                <w:szCs w:val="1"/>
                <w:color w:val="auto"/>
              </w:rPr>
            </w:pPr>
          </w:p>
        </w:tc>
      </w:tr>
      <w:tr>
        <w:trPr>
          <w:trHeight w:val="203"/>
        </w:trPr>
        <w:tc>
          <w:tcPr>
            <w:tcW w:w="4160" w:type="dxa"/>
            <w:vAlign w:val="bottom"/>
            <w:shd w:val="clear" w:color="auto" w:fill="E6E6E6"/>
          </w:tcPr>
          <w:p>
            <w:pPr>
              <w:spacing w:after="0" w:line="203" w:lineRule="exact"/>
              <w:rPr>
                <w:sz w:val="20"/>
                <w:szCs w:val="20"/>
                <w:color w:val="auto"/>
              </w:rPr>
            </w:pPr>
            <w:r>
              <w:rPr>
                <w:rFonts w:ascii="Arial" w:cs="Arial" w:eastAsia="Arial" w:hAnsi="Arial"/>
                <w:sz w:val="22"/>
                <w:szCs w:val="22"/>
                <w:color w:val="auto"/>
              </w:rPr>
              <w:t>Director since 2014</w:t>
            </w:r>
          </w:p>
        </w:tc>
        <w:tc>
          <w:tcPr>
            <w:tcW w:w="7080" w:type="dxa"/>
            <w:vAlign w:val="bottom"/>
          </w:tcPr>
          <w:p>
            <w:pPr>
              <w:spacing w:after="0" w:line="203" w:lineRule="exact"/>
              <w:rPr>
                <w:sz w:val="20"/>
                <w:szCs w:val="20"/>
                <w:color w:val="auto"/>
              </w:rPr>
            </w:pPr>
            <w:r>
              <w:rPr>
                <w:rFonts w:ascii="Arial" w:cs="Arial" w:eastAsia="Arial" w:hAnsi="Arial"/>
                <w:sz w:val="18"/>
                <w:szCs w:val="18"/>
                <w:color w:val="auto"/>
              </w:rPr>
              <w:t>Director of Rasco GmbH from 2009 to 2011; Vice President of Delta Design’s High</w:t>
            </w:r>
          </w:p>
        </w:tc>
        <w:tc>
          <w:tcPr>
            <w:tcW w:w="0" w:type="dxa"/>
            <w:vAlign w:val="bottom"/>
          </w:tcPr>
          <w:p>
            <w:pPr>
              <w:spacing w:after="0"/>
              <w:rPr>
                <w:sz w:val="1"/>
                <w:szCs w:val="1"/>
                <w:color w:val="auto"/>
              </w:rPr>
            </w:pPr>
          </w:p>
        </w:tc>
      </w:tr>
      <w:tr>
        <w:trPr>
          <w:trHeight w:val="224"/>
        </w:trPr>
        <w:tc>
          <w:tcPr>
            <w:tcW w:w="4160" w:type="dxa"/>
            <w:vAlign w:val="bottom"/>
            <w:shd w:val="clear" w:color="auto" w:fill="E6E6E6"/>
          </w:tcPr>
          <w:p>
            <w:pPr>
              <w:spacing w:after="0" w:line="224" w:lineRule="exact"/>
              <w:rPr>
                <w:sz w:val="20"/>
                <w:szCs w:val="20"/>
                <w:color w:val="auto"/>
              </w:rPr>
            </w:pPr>
            <w:r>
              <w:rPr>
                <w:rFonts w:ascii="Arial" w:cs="Arial" w:eastAsia="Arial" w:hAnsi="Arial"/>
                <w:sz w:val="22"/>
                <w:szCs w:val="22"/>
                <w:color w:val="auto"/>
              </w:rPr>
              <w:t>Age 55</w:t>
            </w:r>
          </w:p>
        </w:tc>
        <w:tc>
          <w:tcPr>
            <w:tcW w:w="7080" w:type="dxa"/>
            <w:vAlign w:val="bottom"/>
          </w:tcPr>
          <w:p>
            <w:pPr>
              <w:spacing w:after="0"/>
              <w:rPr>
                <w:sz w:val="20"/>
                <w:szCs w:val="20"/>
                <w:color w:val="auto"/>
              </w:rPr>
            </w:pPr>
            <w:r>
              <w:rPr>
                <w:rFonts w:ascii="Arial" w:cs="Arial" w:eastAsia="Arial" w:hAnsi="Arial"/>
                <w:sz w:val="18"/>
                <w:szCs w:val="18"/>
                <w:color w:val="auto"/>
              </w:rPr>
              <w:t>Speed Handling Group from 2008 to 2009; and Director of Engineering at Delta Design</w:t>
            </w:r>
          </w:p>
        </w:tc>
        <w:tc>
          <w:tcPr>
            <w:tcW w:w="0" w:type="dxa"/>
            <w:vAlign w:val="bottom"/>
          </w:tcPr>
          <w:p>
            <w:pPr>
              <w:spacing w:after="0"/>
              <w:rPr>
                <w:sz w:val="1"/>
                <w:szCs w:val="1"/>
                <w:color w:val="auto"/>
              </w:rPr>
            </w:pPr>
          </w:p>
        </w:tc>
      </w:tr>
      <w:tr>
        <w:trPr>
          <w:trHeight w:val="203"/>
        </w:trPr>
        <w:tc>
          <w:tcPr>
            <w:tcW w:w="4160" w:type="dxa"/>
            <w:vAlign w:val="bottom"/>
            <w:shd w:val="clear" w:color="auto" w:fill="E6E6E6"/>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from 2005 to 2008. Prior to joining Cohu, Dr. Müller spent nine years at Teradyne Inc.,</w:t>
            </w:r>
          </w:p>
        </w:tc>
        <w:tc>
          <w:tcPr>
            <w:tcW w:w="0" w:type="dxa"/>
            <w:vAlign w:val="bottom"/>
          </w:tcPr>
          <w:p>
            <w:pPr>
              <w:spacing w:after="0"/>
              <w:rPr>
                <w:sz w:val="1"/>
                <w:szCs w:val="1"/>
                <w:color w:val="auto"/>
              </w:rPr>
            </w:pPr>
          </w:p>
        </w:tc>
      </w:tr>
      <w:tr>
        <w:trPr>
          <w:trHeight w:val="260"/>
        </w:trPr>
        <w:tc>
          <w:tcPr>
            <w:tcW w:w="4160" w:type="dxa"/>
            <w:vAlign w:val="bottom"/>
            <w:shd w:val="clear" w:color="auto" w:fill="E6E6E6"/>
          </w:tcPr>
          <w:p>
            <w:pPr>
              <w:spacing w:after="0"/>
              <w:rPr>
                <w:sz w:val="20"/>
                <w:szCs w:val="20"/>
                <w:color w:val="auto"/>
              </w:rPr>
            </w:pPr>
            <w:r>
              <w:rPr>
                <w:rFonts w:ascii="Arial" w:cs="Arial" w:eastAsia="Arial" w:hAnsi="Arial"/>
                <w:sz w:val="22"/>
                <w:szCs w:val="22"/>
                <w:b w:val="1"/>
                <w:bCs w:val="1"/>
                <w:color w:val="0033A0"/>
              </w:rPr>
              <w:t>Other Current Public</w:t>
            </w:r>
          </w:p>
        </w:tc>
        <w:tc>
          <w:tcPr>
            <w:tcW w:w="7080" w:type="dxa"/>
            <w:vAlign w:val="bottom"/>
          </w:tcPr>
          <w:p>
            <w:pPr>
              <w:spacing w:after="0"/>
              <w:rPr>
                <w:sz w:val="20"/>
                <w:szCs w:val="20"/>
                <w:color w:val="auto"/>
              </w:rPr>
            </w:pPr>
            <w:r>
              <w:rPr>
                <w:rFonts w:ascii="Arial" w:cs="Arial" w:eastAsia="Arial" w:hAnsi="Arial"/>
                <w:sz w:val="18"/>
                <w:szCs w:val="18"/>
                <w:color w:val="auto"/>
              </w:rPr>
              <w:t>where he held management positions in engineering and business development.</w:t>
            </w:r>
          </w:p>
        </w:tc>
        <w:tc>
          <w:tcPr>
            <w:tcW w:w="0" w:type="dxa"/>
            <w:vAlign w:val="bottom"/>
          </w:tcPr>
          <w:p>
            <w:pPr>
              <w:spacing w:after="0"/>
              <w:rPr>
                <w:sz w:val="1"/>
                <w:szCs w:val="1"/>
                <w:color w:val="auto"/>
              </w:rPr>
            </w:pPr>
          </w:p>
        </w:tc>
      </w:tr>
      <w:tr>
        <w:trPr>
          <w:trHeight w:val="245"/>
        </w:trPr>
        <w:tc>
          <w:tcPr>
            <w:tcW w:w="4160" w:type="dxa"/>
            <w:vAlign w:val="bottom"/>
            <w:shd w:val="clear" w:color="auto" w:fill="E6E6E6"/>
          </w:tcPr>
          <w:p>
            <w:pPr>
              <w:spacing w:after="0" w:line="245" w:lineRule="exact"/>
              <w:rPr>
                <w:sz w:val="20"/>
                <w:szCs w:val="20"/>
                <w:color w:val="auto"/>
              </w:rPr>
            </w:pPr>
            <w:r>
              <w:rPr>
                <w:rFonts w:ascii="Arial" w:cs="Arial" w:eastAsia="Arial" w:hAnsi="Arial"/>
                <w:sz w:val="22"/>
                <w:szCs w:val="22"/>
                <w:b w:val="1"/>
                <w:bCs w:val="1"/>
                <w:color w:val="0033A0"/>
              </w:rPr>
              <w:t>Company Boards:</w:t>
            </w:r>
          </w:p>
        </w:tc>
        <w:tc>
          <w:tcPr>
            <w:tcW w:w="7080" w:type="dxa"/>
            <w:vAlign w:val="bottom"/>
            <w:vMerge w:val="restart"/>
          </w:tcPr>
          <w:p>
            <w:pPr>
              <w:spacing w:after="0"/>
              <w:rPr>
                <w:sz w:val="20"/>
                <w:szCs w:val="20"/>
                <w:color w:val="auto"/>
              </w:rPr>
            </w:pPr>
            <w:r>
              <w:rPr>
                <w:rFonts w:ascii="Arial" w:cs="Arial" w:eastAsia="Arial" w:hAnsi="Arial"/>
                <w:sz w:val="22"/>
                <w:szCs w:val="22"/>
                <w:color w:val="0033A0"/>
              </w:rPr>
              <w:t>Experience Qualifications and Attributes</w:t>
            </w:r>
          </w:p>
        </w:tc>
        <w:tc>
          <w:tcPr>
            <w:tcW w:w="0" w:type="dxa"/>
            <w:vAlign w:val="bottom"/>
          </w:tcPr>
          <w:p>
            <w:pPr>
              <w:spacing w:after="0"/>
              <w:rPr>
                <w:sz w:val="1"/>
                <w:szCs w:val="1"/>
                <w:color w:val="auto"/>
              </w:rPr>
            </w:pPr>
          </w:p>
        </w:tc>
      </w:tr>
      <w:tr>
        <w:trPr>
          <w:trHeight w:val="143"/>
        </w:trPr>
        <w:tc>
          <w:tcPr>
            <w:tcW w:w="4160" w:type="dxa"/>
            <w:vAlign w:val="bottom"/>
            <w:vMerge w:val="restart"/>
            <w:shd w:val="clear" w:color="auto" w:fill="E6E6E6"/>
          </w:tcPr>
          <w:p>
            <w:pPr>
              <w:spacing w:after="0"/>
              <w:rPr>
                <w:sz w:val="20"/>
                <w:szCs w:val="20"/>
                <w:color w:val="auto"/>
              </w:rPr>
            </w:pPr>
            <w:r>
              <w:rPr>
                <w:rFonts w:ascii="Arial" w:cs="Arial" w:eastAsia="Arial" w:hAnsi="Arial"/>
                <w:sz w:val="22"/>
                <w:szCs w:val="22"/>
                <w:color w:val="auto"/>
              </w:rPr>
              <w:t>Celestica Inc.</w:t>
            </w:r>
          </w:p>
        </w:tc>
        <w:tc>
          <w:tcPr>
            <w:tcW w:w="7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160" w:type="dxa"/>
            <w:vAlign w:val="bottom"/>
            <w:vMerge w:val="continue"/>
            <w:shd w:val="clear" w:color="auto" w:fill="E6E6E6"/>
          </w:tcPr>
          <w:p>
            <w:pPr>
              <w:spacing w:after="0"/>
              <w:rPr>
                <w:sz w:val="12"/>
                <w:szCs w:val="12"/>
                <w:color w:val="auto"/>
              </w:rPr>
            </w:pPr>
          </w:p>
        </w:tc>
        <w:tc>
          <w:tcPr>
            <w:tcW w:w="7080" w:type="dxa"/>
            <w:vAlign w:val="bottom"/>
            <w:vMerge w:val="restart"/>
          </w:tcPr>
          <w:p>
            <w:pPr>
              <w:spacing w:after="0" w:line="202" w:lineRule="exact"/>
              <w:rPr>
                <w:sz w:val="20"/>
                <w:szCs w:val="20"/>
                <w:color w:val="auto"/>
              </w:rPr>
            </w:pPr>
            <w:r>
              <w:rPr>
                <w:rFonts w:ascii="Arial" w:cs="Arial" w:eastAsia="Arial" w:hAnsi="Arial"/>
                <w:sz w:val="18"/>
                <w:szCs w:val="18"/>
                <w:color w:val="auto"/>
              </w:rPr>
              <w:t>We believe Dr. Müller’s qualifications to sit on our Board include his extensive executive,</w:t>
            </w:r>
          </w:p>
        </w:tc>
        <w:tc>
          <w:tcPr>
            <w:tcW w:w="0" w:type="dxa"/>
            <w:vAlign w:val="bottom"/>
          </w:tcPr>
          <w:p>
            <w:pPr>
              <w:spacing w:after="0"/>
              <w:rPr>
                <w:sz w:val="1"/>
                <w:szCs w:val="1"/>
                <w:color w:val="auto"/>
              </w:rPr>
            </w:pPr>
          </w:p>
        </w:tc>
      </w:tr>
      <w:tr>
        <w:trPr>
          <w:trHeight w:val="62"/>
        </w:trPr>
        <w:tc>
          <w:tcPr>
            <w:tcW w:w="4160" w:type="dxa"/>
            <w:vAlign w:val="bottom"/>
            <w:shd w:val="clear" w:color="auto" w:fill="E6E6E6"/>
          </w:tcPr>
          <w:p>
            <w:pPr>
              <w:spacing w:after="0"/>
              <w:rPr>
                <w:sz w:val="5"/>
                <w:szCs w:val="5"/>
                <w:color w:val="auto"/>
              </w:rPr>
            </w:pPr>
          </w:p>
        </w:tc>
        <w:tc>
          <w:tcPr>
            <w:tcW w:w="7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E6E6E6"/>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w w:val="99"/>
              </w:rPr>
              <w:t>including CEO, experience in the semiconductor equipment industry, broad knowledge of</w:t>
            </w:r>
          </w:p>
        </w:tc>
        <w:tc>
          <w:tcPr>
            <w:tcW w:w="0" w:type="dxa"/>
            <w:vAlign w:val="bottom"/>
          </w:tcPr>
          <w:p>
            <w:pPr>
              <w:spacing w:after="0"/>
              <w:rPr>
                <w:sz w:val="1"/>
                <w:szCs w:val="1"/>
                <w:color w:val="auto"/>
              </w:rPr>
            </w:pPr>
          </w:p>
        </w:tc>
      </w:tr>
      <w:tr>
        <w:trPr>
          <w:trHeight w:val="203"/>
        </w:trPr>
        <w:tc>
          <w:tcPr>
            <w:tcW w:w="4160" w:type="dxa"/>
            <w:vAlign w:val="bottom"/>
            <w:shd w:val="clear" w:color="auto" w:fill="E6E6E6"/>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business development and strategy, semiconductor technologies, corporate governance</w:t>
            </w:r>
          </w:p>
        </w:tc>
        <w:tc>
          <w:tcPr>
            <w:tcW w:w="0" w:type="dxa"/>
            <w:vAlign w:val="bottom"/>
          </w:tcPr>
          <w:p>
            <w:pPr>
              <w:spacing w:after="0"/>
              <w:rPr>
                <w:sz w:val="1"/>
                <w:szCs w:val="1"/>
                <w:color w:val="auto"/>
              </w:rPr>
            </w:pPr>
          </w:p>
        </w:tc>
      </w:tr>
      <w:tr>
        <w:trPr>
          <w:trHeight w:val="221"/>
        </w:trPr>
        <w:tc>
          <w:tcPr>
            <w:tcW w:w="4160" w:type="dxa"/>
            <w:vAlign w:val="bottom"/>
            <w:tcBorders>
              <w:bottom w:val="single" w:sz="8" w:color="2D53A6"/>
            </w:tcBorders>
            <w:shd w:val="clear" w:color="auto" w:fill="E6E6E6"/>
          </w:tcPr>
          <w:p>
            <w:pPr>
              <w:spacing w:after="0"/>
              <w:rPr>
                <w:sz w:val="19"/>
                <w:szCs w:val="19"/>
                <w:color w:val="auto"/>
              </w:rPr>
            </w:pPr>
          </w:p>
        </w:tc>
        <w:tc>
          <w:tcPr>
            <w:tcW w:w="708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and international operations.</w:t>
            </w:r>
          </w:p>
        </w:tc>
        <w:tc>
          <w:tcPr>
            <w:tcW w:w="0" w:type="dxa"/>
            <w:vAlign w:val="bottom"/>
          </w:tcPr>
          <w:p>
            <w:pPr>
              <w:spacing w:after="0"/>
              <w:rPr>
                <w:sz w:val="1"/>
                <w:szCs w:val="1"/>
                <w:color w:val="auto"/>
              </w:rPr>
            </w:pPr>
          </w:p>
        </w:tc>
      </w:tr>
      <w:tr>
        <w:trPr>
          <w:trHeight w:val="416"/>
        </w:trPr>
        <w:tc>
          <w:tcPr>
            <w:tcW w:w="4160" w:type="dxa"/>
            <w:vAlign w:val="bottom"/>
          </w:tcPr>
          <w:p>
            <w:pPr>
              <w:spacing w:after="0"/>
              <w:rPr>
                <w:sz w:val="24"/>
                <w:szCs w:val="24"/>
                <w:color w:val="auto"/>
              </w:rPr>
            </w:pPr>
          </w:p>
        </w:tc>
        <w:tc>
          <w:tcPr>
            <w:tcW w:w="7080" w:type="dxa"/>
            <w:vAlign w:val="bottom"/>
          </w:tcPr>
          <w:p>
            <w:pPr>
              <w:ind w:left="13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98"/>
        </w:trPr>
        <w:tc>
          <w:tcPr>
            <w:tcW w:w="4160" w:type="dxa"/>
            <w:vAlign w:val="bottom"/>
            <w:tcBorders>
              <w:bottom w:val="single" w:sz="8" w:color="auto"/>
            </w:tcBorders>
          </w:tcPr>
          <w:p>
            <w:pPr>
              <w:spacing w:after="0"/>
              <w:rPr>
                <w:sz w:val="8"/>
                <w:szCs w:val="8"/>
                <w:color w:val="auto"/>
              </w:rPr>
            </w:pPr>
          </w:p>
        </w:tc>
        <w:tc>
          <w:tcPr>
            <w:tcW w:w="7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774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7747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Proposal No. 2: Advisory Vote to Approve Named Executive Compensation</w:t>
      </w:r>
    </w:p>
    <w:p>
      <w:pPr>
        <w:spacing w:after="0" w:line="21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At our 2024 annual meeting, our Board recommended and our stockholders approved holding an advisory vote on the compensation of our NEOs every year. Accordingly, as required by Section 14A of the Securities Exchange Act of 1934, as amended, we are asking our stockholders to cast an advisory vote to approve the compensation of our NEOs as described in this proxy statement.</w:t>
      </w:r>
    </w:p>
    <w:p>
      <w:pPr>
        <w:spacing w:after="0" w:line="155"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At last year’s annual meeting, we provided our stockholders with the opportunity to cast an advisory vote regarding the compensation of our NEOs as disclosed in the proxy statement for the 2024 Annual Meeting of Stockholders. At our 2024 Annual Meeting, our stockholders approved the proposal, with approximately 99.1% of the votes cast voting in favor of the proposal. The next advisory vote regarding the compensation of our NEOs is expected to be held at the 2026 annual meeting of stockholders</w:t>
      </w:r>
    </w:p>
    <w:p>
      <w:pPr>
        <w:spacing w:after="0" w:line="16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value the opinions of our stockholders and will continue to consider the outcome of future say-on-pay votes, as well as feedback received throughout the year, when making compensation decisions for our executive officers, including the NEOs. This year, we are again asking our stockholders to vote “FOR” the compensation of our NEOs as disclosed in this proxy statement.</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0033A0"/>
        </w:rPr>
        <w:t>Compensation Program and Philosophy</w:t>
      </w:r>
    </w:p>
    <w:p>
      <w:pPr>
        <w:spacing w:after="0" w:line="200"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As described under the Compensation Discussion and Analysis section of this proxy statement (the “CD&amp;A”), the Compensation Committee has structured our executive compensation program to achieve the following key objectives:</w:t>
      </w:r>
    </w:p>
    <w:p>
      <w:pPr>
        <w:spacing w:after="0" w:line="140"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pay for performance;</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attract, motivate and retain talented executive officers;</w:t>
      </w:r>
    </w:p>
    <w:p>
      <w:pPr>
        <w:ind w:left="660" w:right="100" w:hanging="328"/>
        <w:spacing w:after="0" w:line="23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motivate progress toward Company-wide financial and business objectives while balancing rewards for short- term and long-term performance;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align the interests of our executive officers with those of stockholders.</w:t>
      </w:r>
    </w:p>
    <w:p>
      <w:pPr>
        <w:spacing w:after="0" w:line="18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urge stockholders to read the CD&amp;A beginning on page 22 of this proxy statement, which describes in more detail how our executive compensation policies and procedures operate and are designed to achieve our compensation objectives, as well as the Summary Compensation Table and other related compensation tables and narrative, which provide detailed information on the compensation of our NEOs. The Compensation Committee and the Board of Directors believe that the policies and procedures articulated in the CD&amp;A are effective in achieving our goals and that the compensation of our NEOs reported in this proxy statement has contributed to Cohu’s recent and long-term success.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0033A0"/>
        </w:rPr>
        <w:t>Required Vote</w:t>
      </w:r>
    </w:p>
    <w:p>
      <w:pPr>
        <w:spacing w:after="0" w:line="20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 majority of the votes cast is required for a non-binding approval of Proposal No. 2. Brokers do not have discretion to vote on this proposal without your instruction. If you do not instruct your broker how to vote on this proposal, your broker will deliver a non-vote on this proposal. Abstentions and broker non-votes will have no effect on the approval of this proposal.</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0033A0"/>
        </w:rPr>
        <w:t>Recommendation of the Board</w:t>
      </w:r>
    </w:p>
    <w:p>
      <w:pPr>
        <w:spacing w:after="0" w:line="20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For the above reasons, we are asking our stockholders to indicate their support for the compensation of our NEOs as described in this proxy statement by voting in favor of the following resolution:</w:t>
      </w:r>
    </w:p>
    <w:p>
      <w:pPr>
        <w:spacing w:after="0" w:line="14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“RESOLVED, that the stockholders of Cohu approve, in a non-binding vote, the compensation of Cohu</w:t>
      </w:r>
      <w:r>
        <w:rPr>
          <w:rFonts w:ascii="Arial" w:cs="Arial" w:eastAsia="Arial" w:hAnsi="Arial"/>
          <w:sz w:val="18"/>
          <w:szCs w:val="18"/>
          <w:color w:val="auto"/>
        </w:rPr>
        <w:t>’</w:t>
      </w:r>
      <w:r>
        <w:rPr>
          <w:rFonts w:ascii="Arial" w:cs="Arial" w:eastAsia="Arial" w:hAnsi="Arial"/>
          <w:sz w:val="18"/>
          <w:szCs w:val="18"/>
          <w:b w:val="1"/>
          <w:bCs w:val="1"/>
          <w:i w:val="1"/>
          <w:iCs w:val="1"/>
          <w:color w:val="auto"/>
        </w:rPr>
        <w:t>s NEOs as disclosed pursuant to the CD&amp;A, the tabular disclosure regarding such compensation, and the accompanying narrative disclosure set forth in the proxy statement relating to Cohu</w:t>
      </w:r>
      <w:r>
        <w:rPr>
          <w:rFonts w:ascii="Arial" w:cs="Arial" w:eastAsia="Arial" w:hAnsi="Arial"/>
          <w:sz w:val="18"/>
          <w:szCs w:val="18"/>
          <w:color w:val="auto"/>
        </w:rPr>
        <w:t>’</w:t>
      </w:r>
      <w:r>
        <w:rPr>
          <w:rFonts w:ascii="Arial" w:cs="Arial" w:eastAsia="Arial" w:hAnsi="Arial"/>
          <w:sz w:val="18"/>
          <w:szCs w:val="18"/>
          <w:b w:val="1"/>
          <w:bCs w:val="1"/>
          <w:i w:val="1"/>
          <w:iCs w:val="1"/>
          <w:color w:val="auto"/>
        </w:rPr>
        <w:t>s 2025 Annual Meeting of Stockholders.</w:t>
      </w:r>
      <w:r>
        <w:rPr>
          <w:rFonts w:ascii="Arial" w:cs="Arial" w:eastAsia="Arial" w:hAnsi="Arial"/>
          <w:sz w:val="18"/>
          <w:szCs w:val="18"/>
          <w:color w:val="auto"/>
        </w:rPr>
        <w:t>”</w:t>
      </w:r>
    </w:p>
    <w:p>
      <w:pPr>
        <w:spacing w:after="0" w:line="14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Even though this say-on-pay vote is advisory and therefore will not be binding on Cohu, the Compensation Committee and the Board value the opinions of our stockholders. Accordingly, to the extent there is a significant vote against the compensation of our NEOs, we will consider our stockholders’ concerns and the Compensation Committee will evaluate what actions may be necessary or appropriate to address those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7543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80" w:right="2060"/>
        <w:spacing w:after="0" w:line="298" w:lineRule="auto"/>
        <w:rPr>
          <w:sz w:val="20"/>
          <w:szCs w:val="20"/>
          <w:color w:val="auto"/>
        </w:rPr>
      </w:pPr>
      <w:r>
        <w:rPr>
          <w:rFonts w:ascii="Arial" w:cs="Arial" w:eastAsia="Arial" w:hAnsi="Arial"/>
          <w:sz w:val="25"/>
          <w:szCs w:val="25"/>
          <w:b w:val="1"/>
          <w:bCs w:val="1"/>
          <w:color w:val="FFFFFF"/>
        </w:rPr>
        <w:t xml:space="preserve">The Board of Directors unanimously recommends a vote </w:t>
      </w:r>
      <w:r>
        <w:rPr>
          <w:rFonts w:ascii="Arial" w:cs="Arial" w:eastAsia="Arial" w:hAnsi="Arial"/>
          <w:sz w:val="25"/>
          <w:szCs w:val="25"/>
          <w:color w:val="FFFFFF"/>
        </w:rPr>
        <w:t>√ “</w:t>
      </w:r>
      <w:r>
        <w:rPr>
          <w:rFonts w:ascii="Arial" w:cs="Arial" w:eastAsia="Arial" w:hAnsi="Arial"/>
          <w:sz w:val="25"/>
          <w:szCs w:val="25"/>
          <w:b w:val="1"/>
          <w:bCs w:val="1"/>
          <w:color w:val="FFFFFF"/>
        </w:rPr>
        <w:t>FOR</w:t>
      </w:r>
      <w:r>
        <w:rPr>
          <w:rFonts w:ascii="Arial" w:cs="Arial" w:eastAsia="Arial" w:hAnsi="Arial"/>
          <w:sz w:val="25"/>
          <w:szCs w:val="25"/>
          <w:color w:val="FFFFFF"/>
        </w:rPr>
        <w:t>”</w:t>
      </w:r>
      <w:r>
        <w:rPr>
          <w:rFonts w:ascii="Arial" w:cs="Arial" w:eastAsia="Arial" w:hAnsi="Arial"/>
          <w:sz w:val="25"/>
          <w:szCs w:val="25"/>
          <w:b w:val="1"/>
          <w:bCs w:val="1"/>
          <w:color w:val="FFFFFF"/>
        </w:rPr>
        <w:t xml:space="preserve"> approval, on an advisory basis, of the resolution on executive compensation.</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774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7747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Proposal No. 3: Ratification of Independent Registered Public Accounting Firm</w:t>
      </w:r>
    </w:p>
    <w:p>
      <w:pPr>
        <w:spacing w:after="0" w:line="21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Audit Committee of the Board has appointed Ernst &amp; Young LLP as Cohu’s independent registered public accounting firm for the fiscal year ending December 27, 2025. Ernst &amp; Young LLP served as Cohu’s independent registered public accounting firm for the fiscal year ended December 28, 2024, and also provided certain tax services. See “Principal Accounting Fees and Services” on page 52. Representatives of Ernst &amp; Young LLP are expected to attend the Meeting, where they will be available to respond to appropriate questions and, if they desire, to make a statement. Ernst &amp; Young LLP (or its predecessor firms) has been Cohu’s independent registered public accounting firm since 1956. Our Board recommends that the stockholders approve the ratification of the appointment of Ernst &amp; Young LLP as Cohu’s independent registered public accounting firm for the fiscal year ending December 27, 2025. If the appointment is not ratified, the Audit Committee will consider whether it should select another independent registered public accounting firm.</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0033A0"/>
        </w:rPr>
        <w:t>Required Vote</w:t>
      </w:r>
    </w:p>
    <w:p>
      <w:pPr>
        <w:spacing w:after="0" w:line="2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majority of the votes cast is required to approve Proposal No. 3. If you hold your shares through a broker and you do not instruct the broker on how to vote on this “routine” proposal, your broker will nevertheless have authority to vote your shares on this “routine” proposal in your broker’s discretion. Abstentions will have no effect on the approval of this proposal.</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0033A0"/>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743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7439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80"/>
        <w:spacing w:after="0" w:line="273" w:lineRule="auto"/>
        <w:rPr>
          <w:sz w:val="20"/>
          <w:szCs w:val="20"/>
          <w:color w:val="auto"/>
        </w:rPr>
      </w:pPr>
      <w:r>
        <w:rPr>
          <w:rFonts w:ascii="Arial" w:cs="Arial" w:eastAsia="Arial" w:hAnsi="Arial"/>
          <w:sz w:val="25"/>
          <w:szCs w:val="25"/>
          <w:b w:val="1"/>
          <w:bCs w:val="1"/>
          <w:color w:val="FFFFFF"/>
        </w:rPr>
        <w:t xml:space="preserve">The Board of Directors unanimously recommends a vote </w:t>
      </w:r>
      <w:r>
        <w:rPr>
          <w:rFonts w:ascii="Arial" w:cs="Arial" w:eastAsia="Arial" w:hAnsi="Arial"/>
          <w:sz w:val="25"/>
          <w:szCs w:val="25"/>
          <w:color w:val="FFFFFF"/>
        </w:rPr>
        <w:t>√ “</w:t>
      </w:r>
      <w:r>
        <w:rPr>
          <w:rFonts w:ascii="Arial" w:cs="Arial" w:eastAsia="Arial" w:hAnsi="Arial"/>
          <w:sz w:val="25"/>
          <w:szCs w:val="25"/>
          <w:b w:val="1"/>
          <w:bCs w:val="1"/>
          <w:color w:val="FFFFFF"/>
        </w:rPr>
        <w:t>FOR</w:t>
      </w:r>
      <w:r>
        <w:rPr>
          <w:rFonts w:ascii="Arial" w:cs="Arial" w:eastAsia="Arial" w:hAnsi="Arial"/>
          <w:sz w:val="25"/>
          <w:szCs w:val="25"/>
          <w:color w:val="FFFFFF"/>
        </w:rPr>
        <w:t>”</w:t>
      </w:r>
      <w:r>
        <w:rPr>
          <w:rFonts w:ascii="Arial" w:cs="Arial" w:eastAsia="Arial" w:hAnsi="Arial"/>
          <w:sz w:val="25"/>
          <w:szCs w:val="25"/>
          <w:b w:val="1"/>
          <w:bCs w:val="1"/>
          <w:color w:val="FFFFFF"/>
        </w:rPr>
        <w:t xml:space="preserve"> the ratification of the appointment of Ernst &amp; Young LLP as Cohu</w:t>
      </w:r>
      <w:r>
        <w:rPr>
          <w:rFonts w:ascii="Arial" w:cs="Arial" w:eastAsia="Arial" w:hAnsi="Arial"/>
          <w:sz w:val="25"/>
          <w:szCs w:val="25"/>
          <w:color w:val="FFFFFF"/>
        </w:rPr>
        <w:t>’</w:t>
      </w:r>
      <w:r>
        <w:rPr>
          <w:rFonts w:ascii="Arial" w:cs="Arial" w:eastAsia="Arial" w:hAnsi="Arial"/>
          <w:sz w:val="25"/>
          <w:szCs w:val="25"/>
          <w:b w:val="1"/>
          <w:bCs w:val="1"/>
          <w:color w:val="FFFFFF"/>
        </w:rPr>
        <w:t>s independent registered public accounting firm for the fiscal year ending December 27, 2025.</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36"/>
          <w:szCs w:val="36"/>
          <w:b w:val="1"/>
          <w:bCs w:val="1"/>
          <w:color w:val="FFFFFF"/>
        </w:rPr>
        <w:t>Voting and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2654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0033A0"/>
        </w:rPr>
        <w:t>General Information</w:t>
      </w:r>
    </w:p>
    <w:p>
      <w:pPr>
        <w:spacing w:after="0" w:line="21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 xml:space="preserve">This proxy statement is furnished in connection with the solicitation by the Board of Directors of Cohu, Inc., a Delaware corporation (“Cohu”), of your proxy for use at the 2025 Annual Meeting of Stockholders to be held on Friday, May 16, 2025, at 1:00 p.m. Pacific Time (the “Meeting”). The Meeting will be a ‘‘virtual-only” meeting of stockholders. You will be able to attend the Meeting as well as vote and submit your questions during the live webcast of the Meeting by visiting </w:t>
      </w:r>
      <w:r>
        <w:rPr>
          <w:rFonts w:ascii="Arial" w:cs="Arial" w:eastAsia="Arial" w:hAnsi="Arial"/>
          <w:sz w:val="18"/>
          <w:szCs w:val="18"/>
          <w:u w:val="single" w:color="auto"/>
          <w:color w:val="auto"/>
        </w:rPr>
        <w:t>http://www.virtualshareholdermeeting.com/COHU2025</w:t>
      </w:r>
      <w:r>
        <w:rPr>
          <w:rFonts w:ascii="Arial" w:cs="Arial" w:eastAsia="Arial" w:hAnsi="Arial"/>
          <w:sz w:val="18"/>
          <w:szCs w:val="18"/>
          <w:color w:val="auto"/>
        </w:rPr>
        <w:t xml:space="preserve"> and entering the 16-digit control number included in our notice of Internet availability of the proxy materials, on your proxy card or in the instructions that accompanied your proxy materials.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0033A0"/>
        </w:rPr>
        <w:t>Electronic Distribution</w:t>
      </w:r>
    </w:p>
    <w:p>
      <w:pPr>
        <w:spacing w:after="0" w:line="20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are furnishing our proxy materials to our stockholders over the internet using “Notice and Access” delivery. Electronic delivery is faster, convenient, economical and more environmentally friendly. On or about April 2, 2025 we expect to mail to our stockholders a Notice of Internet Availability of Proxy Materials containing instructions on how to access our proxy materials and the Cohu 2024 Annual Report via the Internet and how to vote your proxy. If you received the Notice of Internet Availability of Proxy Materials, you will not automatically receive a printed copy of Cohu’s proxy materials in the mail. If you would like to receive a printed copy, please follow the instructions provided in the Notice of Internet Availability of Proxy Materials.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0033A0"/>
        </w:rPr>
        <w:t>Voting</w:t>
      </w:r>
    </w:p>
    <w:p>
      <w:pPr>
        <w:spacing w:after="0" w:line="20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March 21, 2025, the record date fixed by our Board of Directors (the “Board”), Cohu had outstanding 46,495,087, shares of common stock. Only stockholders of record as of the close of business on March 21, 2025, will be entitled to vote at the Meeting and any adjournment thereof. We encourage you to read the entire Proxy Statement for more information prior to voting.</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0033A0"/>
        </w:rPr>
        <w:t>Voting Procedures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As a stockholder of Cohu, you have a right to vote on certain business matters affecting Cohu. This proxy statement relates only to the solicitation of proxies from the stockholders with respect to the election of the three (3) Class 3 directors nominated by the Board; an advisory vote on named executive officer compensation; and ratification of the appointment of Cohu’s independent registered public accounting firm. Each share of Cohu’s common stock you own entitles you to one vote for each proposal other than the election of directors. With respect to the election of directors, each share of Cohu’s common stock is entitled to cumulative voting rights, which means that when voting for director nominees each share is entitled to a number of votes equal to the number of nominees for election as directors. Accordingly, when voting for director nominees, all of the votes to which a share of Cohu common stock is entitled may be voted in favor of one nominee or may be distributed among the nominees. The proxy holders will have the discretionary authority to cumulate votes in the election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0033A0"/>
        </w:rPr>
        <w:t>Methods of Voting</w:t>
      </w:r>
    </w:p>
    <w:p>
      <w:pPr>
        <w:spacing w:after="0" w:line="200"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If you are a Cohu stockholder of record, you may vote by following the Internet voting instructions on your Notice of Internet Availability of Proxy Materials. If you received a Notice of Internet Availability of Proxy Materials on how to access the proxy materials via the Internet, a proxy card was not sent to you, and you may vote only via the Internet, unless you have requested a paper copy of the proxy materials, in which case, you may also vote by telephone or by signing, dating and returning your proxy card. Shares cannot be voted by marking, writing on and returning the Notice of Internet Availability. Any Notices of Internet Availability that are returned will not be counted as votes. Instructions for requesting a paper copy of the proxy materials are set forth on the Notice of Internet Availability.</w:t>
      </w:r>
    </w:p>
    <w:p>
      <w:pPr>
        <w:spacing w:after="0" w:line="165"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If you are a stockholder of record and return a signed proxy card but do not specify how you want to vote your shares, your shares will be voted FOR the named nominees for Class 3 director, FOR the advisory vote to approve named executive officer compensation, and FOR the ratification of the appointment of Ernst &amp; Young LLP as Cohu’s independent registered public accounting firm for fiscal year 2025, and in the discretion of the proxies (as defined below) as to other matters that may properly come before the Meeting.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If you are a beneficial owner of shares, your broker, bank, trustee, or other nominee may make telephone or Internet voting available to you. The availability of telephone and Internet voting for beneficial owners will depend on the voting processes of your broker, bank, trustee, or other nominee. Therefore, we recommend that you follow the voting instructions in the materials you receive from your broker, bank, trustee, or other nominee.</w:t>
      </w:r>
    </w:p>
    <w:p>
      <w:pPr>
        <w:spacing w:after="0" w:line="16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auto"/>
        </w:rPr>
        <w:t>Voting over the Internet</w:t>
      </w:r>
      <w:r>
        <w:rPr>
          <w:rFonts w:ascii="Arial" w:cs="Arial" w:eastAsia="Arial" w:hAnsi="Arial"/>
          <w:sz w:val="18"/>
          <w:szCs w:val="18"/>
          <w:color w:val="auto"/>
        </w:rPr>
        <w:t>. If you are a stockholder of record, to vote over the Internet, please follow the instructions included on your Notice</w:t>
      </w:r>
      <w:r>
        <w:rPr>
          <w:rFonts w:ascii="Arial" w:cs="Arial" w:eastAsia="Arial" w:hAnsi="Arial"/>
          <w:sz w:val="18"/>
          <w:szCs w:val="18"/>
          <w:b w:val="1"/>
          <w:bCs w:val="1"/>
          <w:color w:val="auto"/>
        </w:rPr>
        <w:t xml:space="preserve"> </w:t>
      </w:r>
      <w:r>
        <w:rPr>
          <w:rFonts w:ascii="Arial" w:cs="Arial" w:eastAsia="Arial" w:hAnsi="Arial"/>
          <w:sz w:val="18"/>
          <w:szCs w:val="18"/>
          <w:color w:val="auto"/>
        </w:rPr>
        <w:t>of Internet Availability of Proxy Materials.</w:t>
      </w:r>
    </w:p>
    <w:p>
      <w:pPr>
        <w:spacing w:after="0" w:line="140"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color w:val="auto"/>
        </w:rPr>
        <w:t>Voting by Mai</w:t>
      </w:r>
      <w:r>
        <w:rPr>
          <w:rFonts w:ascii="Arial" w:cs="Arial" w:eastAsia="Arial" w:hAnsi="Arial"/>
          <w:sz w:val="18"/>
          <w:szCs w:val="18"/>
          <w:color w:val="auto"/>
        </w:rPr>
        <w:t>l. If you are a stockholder of record and have requested a paper copy of the proxy materials you may vote by mail by signing</w:t>
      </w:r>
      <w:r>
        <w:rPr>
          <w:rFonts w:ascii="Arial" w:cs="Arial" w:eastAsia="Arial" w:hAnsi="Arial"/>
          <w:sz w:val="18"/>
          <w:szCs w:val="18"/>
          <w:b w:val="1"/>
          <w:bCs w:val="1"/>
          <w:color w:val="auto"/>
        </w:rPr>
        <w:t xml:space="preserve"> </w:t>
      </w:r>
      <w:r>
        <w:rPr>
          <w:rFonts w:ascii="Arial" w:cs="Arial" w:eastAsia="Arial" w:hAnsi="Arial"/>
          <w:sz w:val="18"/>
          <w:szCs w:val="18"/>
          <w:color w:val="auto"/>
        </w:rPr>
        <w:t>and returning the proxy card in the prepaid and addressed envelope provided. If you do that, you are authorizing the individuals named on the proxy card (known as “proxies”) to vote your shares at the Meeting in the manner you indicate. We encourage you to sign and return the proxy card even if you plan to attend the Meeting. In this way, your shares will be voted if you are unable to attend the Meeting. If you receive more than one proxy card, it is an indication that your shares are held in multiple accounts. Please sign and return all proxy cards to ensure that all of your shares are voted.</w:t>
      </w:r>
    </w:p>
    <w:p>
      <w:pPr>
        <w:spacing w:after="0" w:line="165"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color w:val="auto"/>
        </w:rPr>
        <w:t>Voting by Telephone</w:t>
      </w:r>
      <w:r>
        <w:rPr>
          <w:rFonts w:ascii="Arial" w:cs="Arial" w:eastAsia="Arial" w:hAnsi="Arial"/>
          <w:sz w:val="18"/>
          <w:szCs w:val="18"/>
          <w:color w:val="auto"/>
        </w:rPr>
        <w:t>. If you have requested a paper copy of the proxy materials you may vote by telephone by following the instructions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on your proxy card. If you vote by telephone, you do not need to complete and mail your proxy card.</w:t>
      </w:r>
    </w:p>
    <w:p>
      <w:pPr>
        <w:spacing w:after="0" w:line="14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b w:val="1"/>
          <w:bCs w:val="1"/>
          <w:color w:val="auto"/>
        </w:rPr>
        <w:t>Voting in Person at the Virtual Meeting</w:t>
      </w:r>
      <w:r>
        <w:rPr>
          <w:rFonts w:ascii="Arial" w:cs="Arial" w:eastAsia="Arial" w:hAnsi="Arial"/>
          <w:sz w:val="18"/>
          <w:szCs w:val="18"/>
          <w:color w:val="auto"/>
        </w:rPr>
        <w:t>. The Meeting will be held entirely online to allow for greater participation. Stockholders may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participate in the Meeting by visiting the following website: </w:t>
      </w:r>
      <w:r>
        <w:rPr>
          <w:rFonts w:ascii="Arial" w:cs="Arial" w:eastAsia="Arial" w:hAnsi="Arial"/>
          <w:sz w:val="18"/>
          <w:szCs w:val="18"/>
          <w:u w:val="single" w:color="auto"/>
          <w:color w:val="auto"/>
        </w:rPr>
        <w:t>http://www.virtualshareholdermeeting.com/COHU2025</w:t>
      </w:r>
      <w:r>
        <w:rPr>
          <w:rFonts w:ascii="Arial" w:cs="Arial" w:eastAsia="Arial" w:hAnsi="Arial"/>
          <w:sz w:val="18"/>
          <w:szCs w:val="18"/>
          <w:color w:val="auto"/>
        </w:rPr>
        <w:t>. To participate in the Meeting, you will need the 16-digit control number included on your Notice, on your proxy card or on the instructions that accompanied your proxy materials. Shares held in your name as the stockholder of record may be voted electronically during the Meeting. Shares for which you are the beneficial owner but not the stockholder of record also may be voted electronically during the Meeting; however, you may not vote beneficially held shares electronically at the Meeting unless you receive a valid proxy from your bank, brokerage firm, broker dealer or other nominee holder and those institutions will likely require your instructions to be submitted before the deadline listed above. Even if you plan to attend the Meeting, we recommend that you vote your shares in advance, so that your vote will be counted if you later decide not to attend the Meeting.</w:t>
      </w:r>
    </w:p>
    <w:p>
      <w:pPr>
        <w:spacing w:after="0" w:line="170"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b w:val="1"/>
          <w:bCs w:val="1"/>
          <w:color w:val="auto"/>
        </w:rPr>
        <w:t>Log in Instructions</w:t>
      </w:r>
      <w:r>
        <w:rPr>
          <w:rFonts w:ascii="Arial" w:cs="Arial" w:eastAsia="Arial" w:hAnsi="Arial"/>
          <w:sz w:val="18"/>
          <w:szCs w:val="18"/>
          <w:color w:val="auto"/>
        </w:rPr>
        <w:t>. To attend the Meeting, please log in at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http://www.virtualshareholdermeeting.com/COHU2025</w:t>
      </w:r>
      <w:r>
        <w:rPr>
          <w:rFonts w:ascii="Arial" w:cs="Arial" w:eastAsia="Arial" w:hAnsi="Arial"/>
          <w:sz w:val="18"/>
          <w:szCs w:val="18"/>
          <w:color w:val="auto"/>
        </w:rPr>
        <w:t>. Stockholders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record date will need their unique 16-digit control number, which appears on the Notice and the instructions that accompanied the proxy materials, in order to be able to be able to submit a question or vote at the Meeting. If you are the beneficial owner of shares held in “street name” by a bank, broker or other holder of record, you may gain access to the Meeting by following the instructions in the voting instruction card provided by your bank, broker or other nominee.</w:t>
      </w:r>
    </w:p>
    <w:p>
      <w:pPr>
        <w:spacing w:after="0" w:line="163"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color w:val="auto"/>
        </w:rPr>
        <w:t>Submitting Questions Prior To or at the Meeting</w:t>
      </w:r>
      <w:r>
        <w:rPr>
          <w:rFonts w:ascii="Arial" w:cs="Arial" w:eastAsia="Arial" w:hAnsi="Arial"/>
          <w:sz w:val="18"/>
          <w:szCs w:val="18"/>
          <w:color w:val="auto"/>
        </w:rPr>
        <w:t>. If you would like to submit a question to be addressed during the question and answer</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 Meeting, you may do so in advance at h</w:t>
      </w:r>
      <w:r>
        <w:rPr>
          <w:rFonts w:ascii="Arial" w:cs="Arial" w:eastAsia="Arial" w:hAnsi="Arial"/>
          <w:sz w:val="18"/>
          <w:szCs w:val="18"/>
          <w:u w:val="single" w:color="auto"/>
          <w:color w:val="auto"/>
        </w:rPr>
        <w:t>ttp://www.virtualshareholdermeeting.com/COHU2025</w:t>
      </w:r>
      <w:r>
        <w:rPr>
          <w:rFonts w:ascii="Arial" w:cs="Arial" w:eastAsia="Arial" w:hAnsi="Arial"/>
          <w:sz w:val="18"/>
          <w:szCs w:val="18"/>
          <w:color w:val="auto"/>
        </w:rPr>
        <w:t xml:space="preserve"> or you may type it into the dialog box provided at any point during the Meeting (until the floor is closed to questions). We intend to answer questions submitted prior to or during the Meeting that are pertinent to the Cohu and the Meeting matters, as time permits. Questions and answers will be grouped by topic and substantially similar questions will be grouped and answered once.</w:t>
      </w:r>
    </w:p>
    <w:p>
      <w:pPr>
        <w:spacing w:after="0" w:line="163"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auto"/>
        </w:rPr>
        <w:t>Technical Assistance</w:t>
      </w:r>
      <w:r>
        <w:rPr>
          <w:rFonts w:ascii="Arial" w:cs="Arial" w:eastAsia="Arial" w:hAnsi="Arial"/>
          <w:sz w:val="18"/>
          <w:szCs w:val="18"/>
          <w:color w:val="auto"/>
        </w:rPr>
        <w:t>. Beginning approximately thirty minutes prior to the start of and during the Meeting, we will have a support team ready</w:t>
      </w:r>
      <w:r>
        <w:rPr>
          <w:rFonts w:ascii="Arial" w:cs="Arial" w:eastAsia="Arial" w:hAnsi="Arial"/>
          <w:sz w:val="18"/>
          <w:szCs w:val="18"/>
          <w:b w:val="1"/>
          <w:bCs w:val="1"/>
          <w:color w:val="auto"/>
        </w:rPr>
        <w:t xml:space="preserve"> </w:t>
      </w:r>
      <w:r>
        <w:rPr>
          <w:rFonts w:ascii="Arial" w:cs="Arial" w:eastAsia="Arial" w:hAnsi="Arial"/>
          <w:sz w:val="18"/>
          <w:szCs w:val="18"/>
          <w:color w:val="auto"/>
        </w:rPr>
        <w:t>to assist stockholders with any technical difficulties they may have accessing or hearing the Meeting. If you encounter any difficulties accessing the Meeting during the check-in or during the Meeting, please call the technical support number that will be posted on the Meeting website log-in page.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0033A0"/>
        </w:rPr>
        <w:t>Revoking Your Proxy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You may revoke your proxy at any time before it is voted at the Meeting. In order to do this as a stockholder of record, you must:</w:t>
      </w:r>
    </w:p>
    <w:p>
      <w:pPr>
        <w:spacing w:after="0" w:line="198"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Enter a new vote over the Internet, by telephone or by signing and returning another proxy card bearing a later date;</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written notice of the revocation to Cohu’s Secretary; or</w:t>
      </w: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Attend the Meeting and vote in person.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If you are the beneficial owner of your shares (shares registered in the name of a broker, bank or other nominee), you must contact the broker, bank or other nominee holding your shares and follow their instructions to change your vote or revoke your proxy.</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0033A0"/>
        </w:rPr>
        <w:t>Quorum Requirement</w:t>
      </w:r>
    </w:p>
    <w:p>
      <w:pPr>
        <w:spacing w:after="0" w:line="200"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A quorum, which is a majority of the outstanding shares entitled to vote as of the record date, March 21, 2025, must be present in person or represented by proxy in order to hold the Meeting and to conduct business. Your shares are counted as being present at the Meeting if you appear in person at the Meeting or if you vote your shares over the Internet, by telephone or by submitting a properly executed proxy card. Proxies marked as abstaining on any matter and broker non- votes (as described below) will be counted as present for the purpose of determining a quorum.</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0033A0"/>
        </w:rPr>
        <w:t>Votes Required for the Proposals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For Proposal No. 1, Cohu utilizes a majority voting standard in uncontested elections of directors. In an uncontested election, a director nominee must receive a majority of the votes cast for such nominee’s election (meaning the number of shares voted “For” a nominee must exceed the number of shares voted “Against” such nominee) in order to be elected. If the number of shares voted “Against” a director exceeds the number of shares voted “For” such director in any election, then the director nominee(s) would be requested to submit a letter of resignation and the Board would decide, through a process managed by the Nominating and Governance Committee, whether to accept the resignation. A contested election will generally include any situation in which Cohu receives a notice that a stockholder has nominated a person for election to the Board at a meeting of stockholders. A plurality voting standard will apply in contested director elections.</w:t>
      </w:r>
    </w:p>
    <w:p>
      <w:pPr>
        <w:spacing w:after="0" w:line="17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affirmative vote of a majority of the shares of Cohu common stock cast at the Meeting is required for approval of the advisory vote on named executive compensation (Proposal No. 2) and the ratification of the appointment of Cohu’s independent registered public accounting firm (Proposal No. 3).</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0033A0"/>
        </w:rPr>
        <w:t>Broker Non-Votes</w:t>
      </w:r>
    </w:p>
    <w:p>
      <w:pPr>
        <w:spacing w:after="0" w:line="20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Broker non-votes are shares held by brokers or nominees for which voting instructions have not been received from the beneficial owners or the persons entitled to vote those shares and for which the broker or nominee does not have discretionary voting power under rules applicable to broker-dealers. If your broker holds your shares in its name and you do not instruct your broker how to vote, your broker will nevertheless have discretion to vote your shares on “routine” matters. Only Proposal No. 3 (the ratification of the appointment of Cohu’s independent registered public accounting firm) is considered “routine.” As such, we do not expect any broker non-votes on Proposal No. 3. Your broker will not have discretion to vote on any of the other matters, which are deemed “non-routine” matters, absent direction from you. Accordingly, shares subject to a broker “non-vote” will not be considered entitled to vote with respect to Proposal Nos. 1 and 2 and will not affect the outcome of these proposals. We strongly encourage you to provide instructions to your broker regarding the voting of your shares.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0033A0"/>
        </w:rPr>
        <w:t>Abstentions</w:t>
      </w:r>
    </w:p>
    <w:p>
      <w:pPr>
        <w:spacing w:after="0" w:line="2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Abstentions are counted as present and entitled to vote for purposes of determining a quorum. However, abstentions are not deemed to be votes cast and, therefore, with respect to Proposal Nos, 1, 2 and 3, abstentions will have no effect on the outcome of voting on the proposals to be voted upon at the Meeting.</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0033A0"/>
        </w:rPr>
        <w:t>Voting Confidentiality</w:t>
      </w:r>
    </w:p>
    <w:p>
      <w:pPr>
        <w:spacing w:after="0" w:line="200"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Proxies, ballots and voting tabulations are handled on a confidential basis to protect your voting privacy. Such information will not be disclosed except as required by law.</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0033A0"/>
        </w:rPr>
        <w:t>Voting Results</w:t>
      </w:r>
    </w:p>
    <w:p>
      <w:pPr>
        <w:spacing w:after="0" w:line="200"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 xml:space="preserve">Final voting results will be announced at the Meeting and will be posted shortly after the Meeting on our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 Voting results will also be published in a Current Report on Form 8-K to be filed with the Securities and Exchange Commission (“SEC”) within four business days of the Meeting. After the reports are filed, you may obtain a copy by:</w:t>
      </w:r>
    </w:p>
    <w:p>
      <w:pPr>
        <w:spacing w:after="0" w:line="155"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Visiting our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Contacting our Investor Relations department at (858) 848-8106; or</w:t>
      </w: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Viewing our Form 8-K on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0033A0"/>
        </w:rPr>
        <w:t>Proxy Solicitation Costs</w:t>
      </w:r>
    </w:p>
    <w:p>
      <w:pPr>
        <w:spacing w:after="0" w:line="20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Cohu will bear the entire cost of proxy solicitation, including the preparation, assembly, printing, mailing and distribution of the proxy materials. Cohu’s officers, directors and regular employees will not receive additional compensation for such proxy solicitation services. Cohu may engage, as necessary, an outside solicitor in connection with this proxy solicitation. We will reimburse brokerage firms and other custodians for their reasonable out-of-pocket expenses for forwarding the proxy materials to you.</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0033A0"/>
        </w:rPr>
        <w:t>Householding</w:t>
      </w:r>
    </w:p>
    <w:p>
      <w:pPr>
        <w:spacing w:after="0" w:line="200"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color w:val="auto"/>
        </w:rPr>
        <w:t>Under “householding,” stockholders of record who have the same address and last name will receive only one copy of the Notice of Internet Availability of Proxy Materials unless one or more of these stockholders notifies us that they wish to receive individual copies. Stockholders who participate in householding will continue to be able to request and receive separate proxy cards. This procedure will reduce our printing costs and postage fees.</w:t>
      </w:r>
    </w:p>
    <w:p>
      <w:pPr>
        <w:spacing w:after="0" w:line="16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If you are eligible for householding but you and other stockholders of record with whom you share an address received multiple copies of the Notice of Internet Availability of Proxy Materials, or if you hold stock in more than one account, and, in either case, you wish to receive only a single copy of the Notice for your household, please contact: Corporate Secretary, Cohu, Inc., 12367 Crosthwaite Circle, Poway, CA 92064-6817 or by telephone at 858-848-8119. If you participate in householding and wish to receive a separate copy of the Notice of Internet Availability of Proxy Materials, or if you do not wish to continue to participate in householding and prefer to receive separate copies in the future, please contact Cohu’s Corporate Secretary as indicated above. Upon request, we will promptly deliver a separate copy of the Notice of Internet Availability of Proxy Materials and, if applicable, the proxy materials to any stockholder at a shared address to which we delivered a single copy of any of these documents. Beneficial owners can request information about householding from their broker, banks, trustee, or other nominee.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88" w:lineRule="exact"/>
        <w:rPr>
          <w:sz w:val="20"/>
          <w:szCs w:val="20"/>
          <w:color w:val="auto"/>
        </w:rPr>
      </w:pPr>
    </w:p>
    <w:p>
      <w:pPr>
        <w:jc w:val="center"/>
        <w:ind w:left="360" w:right="220"/>
        <w:spacing w:after="0" w:line="272" w:lineRule="auto"/>
        <w:rPr>
          <w:sz w:val="20"/>
          <w:szCs w:val="20"/>
          <w:color w:val="auto"/>
        </w:rPr>
      </w:pPr>
      <w:r>
        <w:rPr>
          <w:rFonts w:ascii="Arial" w:cs="Arial" w:eastAsia="Arial" w:hAnsi="Arial"/>
          <w:sz w:val="22"/>
          <w:szCs w:val="22"/>
          <w:b w:val="1"/>
          <w:bCs w:val="1"/>
          <w:color w:val="auto"/>
        </w:rPr>
        <w:t>IMPORTANT NOTICE REGARDING THE AVAILABILITY OF PROXY MATERIALS FOR THE STOCKHOLDER MEETING TO BE HELD ON MAY 16, 2025</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This proxy statement and Cohu</w:t>
      </w:r>
      <w:r>
        <w:rPr>
          <w:rFonts w:ascii="Arial" w:cs="Arial" w:eastAsia="Arial" w:hAnsi="Arial"/>
          <w:sz w:val="22"/>
          <w:szCs w:val="22"/>
          <w:color w:val="auto"/>
        </w:rPr>
        <w:t>’</w:t>
      </w:r>
      <w:r>
        <w:rPr>
          <w:rFonts w:ascii="Arial" w:cs="Arial" w:eastAsia="Arial" w:hAnsi="Arial"/>
          <w:sz w:val="22"/>
          <w:szCs w:val="22"/>
          <w:b w:val="1"/>
          <w:bCs w:val="1"/>
          <w:color w:val="auto"/>
        </w:rPr>
        <w:t>s Fiscal Year 2024 Annual Report are both</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available at </w:t>
      </w:r>
      <w:r>
        <w:rPr>
          <w:rFonts w:ascii="Arial" w:cs="Arial" w:eastAsia="Arial" w:hAnsi="Arial"/>
          <w:sz w:val="22"/>
          <w:szCs w:val="22"/>
          <w:b w:val="1"/>
          <w:bCs w:val="1"/>
          <w:u w:val="single" w:color="auto"/>
          <w:color w:val="auto"/>
        </w:rPr>
        <w:t>http://materials.proxyvote.com/192576</w:t>
      </w:r>
      <w:r>
        <w:rPr>
          <w:rFonts w:ascii="Arial" w:cs="Arial" w:eastAsia="Arial" w:hAnsi="Arial"/>
          <w:sz w:val="22"/>
          <w:szCs w:val="22"/>
          <w:b w:val="1"/>
          <w:bCs w:val="1"/>
          <w:color w:val="auto"/>
        </w:rPr>
        <w:t xml:space="preserve"> and </w:t>
      </w:r>
      <w:r>
        <w:rPr>
          <w:rFonts w:ascii="Arial" w:cs="Arial" w:eastAsia="Arial" w:hAnsi="Arial"/>
          <w:sz w:val="22"/>
          <w:szCs w:val="22"/>
          <w:b w:val="1"/>
          <w:bCs w:val="1"/>
          <w:u w:val="single" w:color="auto"/>
          <w:color w:val="auto"/>
        </w:rPr>
        <w:t>www.cohu.com</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36"/>
          <w:szCs w:val="36"/>
          <w:b w:val="1"/>
          <w:bCs w:val="1"/>
          <w:color w:val="FFFFFF"/>
        </w:rPr>
        <w:t>Appendices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2660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Appendix A</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0033A0"/>
        </w:rPr>
        <w:t>Non-GAAP Financial Measures</w:t>
      </w:r>
    </w:p>
    <w:p>
      <w:pPr>
        <w:spacing w:after="0" w:line="20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Proxy Statement includes references to non-GAAP Net loss, EPS, Gross Profit and Pre-tax loss. These financial measures differ from such figures prepared under generally accepted accounting principles (GAAP) by adjusting Cohu’s actual results prepared under GAAP to exclude charges and the related income tax effect for: share-based compensation, the amortization of purchased intangible assets, restructuring costs, manufacturing transition and severance costs, acquisition-related costs and associated professional fees, impairments, inventory step-up, reduction of indemnification receivable, depreciation of purchase accounting adjustments to property, plant and equipment, Reconciliations of GAAP to non-GAAP amounts for the periods presented herein are provided below and should be considered together with the Condensed Consolidated Statements of Income. Human Resources and the Compensation Committee utilized these non-GAAP measure in evaluating compensation decisions in 2024 to benchmark compensation decisions based on measures utilized by management and the Board in evaluating Cohu’s performance.</w:t>
      </w:r>
    </w:p>
    <w:p>
      <w:pPr>
        <w:spacing w:after="0" w:line="170"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These non-GAAP measures are not meant as a substitute for GAAP but are included for informational and comparative purposes. Cohu’s management believes that this information can assist investors in evaluating Cohu’s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these non-GAAP measures to GAAP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400"/>
        </w:trPr>
        <w:tc>
          <w:tcPr>
            <w:tcW w:w="7200" w:type="dxa"/>
            <w:vAlign w:val="bottom"/>
            <w:tcBorders>
              <w:top w:val="single" w:sz="8" w:color="0033A0"/>
              <w:right w:val="single" w:sz="8" w:color="0033A0"/>
            </w:tcBorders>
            <w:shd w:val="clear" w:color="auto" w:fill="2D53A6"/>
          </w:tcPr>
          <w:p>
            <w:pPr>
              <w:spacing w:after="0"/>
              <w:rPr>
                <w:sz w:val="20"/>
                <w:szCs w:val="20"/>
                <w:color w:val="auto"/>
              </w:rPr>
            </w:pPr>
            <w:r>
              <w:rPr>
                <w:rFonts w:ascii="Arial" w:cs="Arial" w:eastAsia="Arial" w:hAnsi="Arial"/>
                <w:sz w:val="18"/>
                <w:szCs w:val="18"/>
                <w:b w:val="1"/>
                <w:bCs w:val="1"/>
                <w:color w:val="FFFFFF"/>
              </w:rPr>
              <w:t>Net loss reconciliation (</w:t>
            </w:r>
            <w:r>
              <w:rPr>
                <w:rFonts w:ascii="Arial" w:cs="Arial" w:eastAsia="Arial" w:hAnsi="Arial"/>
                <w:sz w:val="18"/>
                <w:szCs w:val="18"/>
                <w:b w:val="1"/>
                <w:bCs w:val="1"/>
                <w:i w:val="1"/>
                <w:iCs w:val="1"/>
                <w:color w:val="FFFFFF"/>
              </w:rPr>
              <w:t>in thousands</w:t>
            </w:r>
            <w:r>
              <w:rPr>
                <w:rFonts w:ascii="Arial" w:cs="Arial" w:eastAsia="Arial" w:hAnsi="Arial"/>
                <w:sz w:val="18"/>
                <w:szCs w:val="18"/>
                <w:b w:val="1"/>
                <w:bCs w:val="1"/>
                <w:color w:val="FFFFFF"/>
              </w:rPr>
              <w:t>)</w:t>
            </w:r>
          </w:p>
        </w:tc>
        <w:tc>
          <w:tcPr>
            <w:tcW w:w="2380" w:type="dxa"/>
            <w:vAlign w:val="bottom"/>
            <w:tcBorders>
              <w:top w:val="single" w:sz="8" w:color="0033A0"/>
              <w:right w:val="single" w:sz="8" w:color="0033A0"/>
            </w:tcBorders>
            <w:gridSpan w:val="3"/>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Twelve Months Ended</w:t>
            </w:r>
          </w:p>
        </w:tc>
        <w:tc>
          <w:tcPr>
            <w:tcW w:w="1660" w:type="dxa"/>
            <w:vAlign w:val="bottom"/>
            <w:tcBorders>
              <w:top w:val="single" w:sz="8" w:color="0033A0"/>
            </w:tcBorders>
            <w:gridSpan w:val="3"/>
            <w:shd w:val="clear" w:color="auto" w:fill="2D53A6"/>
          </w:tcPr>
          <w:p>
            <w:pPr>
              <w:ind w:left="320"/>
              <w:spacing w:after="0"/>
              <w:rPr>
                <w:sz w:val="20"/>
                <w:szCs w:val="20"/>
                <w:color w:val="auto"/>
              </w:rPr>
            </w:pPr>
            <w:r>
              <w:rPr>
                <w:rFonts w:ascii="Arial" w:cs="Arial" w:eastAsia="Arial" w:hAnsi="Arial"/>
                <w:sz w:val="18"/>
                <w:szCs w:val="18"/>
                <w:b w:val="1"/>
                <w:bCs w:val="1"/>
                <w:color w:val="FFFFFF"/>
              </w:rPr>
              <w:t>Diluted EPS</w:t>
            </w:r>
          </w:p>
        </w:tc>
      </w:tr>
      <w:tr>
        <w:trPr>
          <w:trHeight w:val="221"/>
        </w:trPr>
        <w:tc>
          <w:tcPr>
            <w:tcW w:w="7200" w:type="dxa"/>
            <w:vAlign w:val="bottom"/>
            <w:tcBorders>
              <w:bottom w:val="single" w:sz="8" w:color="0033A0"/>
              <w:right w:val="single" w:sz="8" w:color="0033A0"/>
            </w:tcBorders>
            <w:shd w:val="clear" w:color="auto" w:fill="2D53A6"/>
          </w:tcPr>
          <w:p>
            <w:pPr>
              <w:spacing w:after="0"/>
              <w:rPr>
                <w:sz w:val="19"/>
                <w:szCs w:val="19"/>
                <w:color w:val="auto"/>
              </w:rPr>
            </w:pPr>
          </w:p>
        </w:tc>
        <w:tc>
          <w:tcPr>
            <w:tcW w:w="2380" w:type="dxa"/>
            <w:vAlign w:val="bottom"/>
            <w:tcBorders>
              <w:bottom w:val="single" w:sz="8" w:color="0033A0"/>
              <w:right w:val="single" w:sz="8" w:color="0033A0"/>
            </w:tcBorders>
            <w:gridSpan w:val="3"/>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December 28, 2024</w:t>
            </w:r>
          </w:p>
        </w:tc>
        <w:tc>
          <w:tcPr>
            <w:tcW w:w="1040" w:type="dxa"/>
            <w:vAlign w:val="bottom"/>
            <w:tcBorders>
              <w:bottom w:val="single" w:sz="8" w:color="0033A0"/>
            </w:tcBorders>
            <w:shd w:val="clear" w:color="auto" w:fill="2D53A6"/>
          </w:tcPr>
          <w:p>
            <w:pPr>
              <w:spacing w:after="0"/>
              <w:rPr>
                <w:sz w:val="19"/>
                <w:szCs w:val="19"/>
                <w:color w:val="auto"/>
              </w:rPr>
            </w:pPr>
          </w:p>
        </w:tc>
        <w:tc>
          <w:tcPr>
            <w:tcW w:w="580" w:type="dxa"/>
            <w:vAlign w:val="bottom"/>
            <w:tcBorders>
              <w:bottom w:val="single" w:sz="8" w:color="0033A0"/>
            </w:tcBorders>
            <w:shd w:val="clear" w:color="auto" w:fill="2D53A6"/>
          </w:tcPr>
          <w:p>
            <w:pPr>
              <w:spacing w:after="0"/>
              <w:rPr>
                <w:sz w:val="19"/>
                <w:szCs w:val="19"/>
                <w:color w:val="auto"/>
              </w:rPr>
            </w:pPr>
          </w:p>
        </w:tc>
        <w:tc>
          <w:tcPr>
            <w:tcW w:w="40" w:type="dxa"/>
            <w:vAlign w:val="bottom"/>
            <w:tcBorders>
              <w:bottom w:val="single" w:sz="8" w:color="0033A0"/>
            </w:tcBorders>
            <w:shd w:val="clear" w:color="auto" w:fill="2D53A6"/>
          </w:tcPr>
          <w:p>
            <w:pPr>
              <w:spacing w:after="0"/>
              <w:rPr>
                <w:sz w:val="19"/>
                <w:szCs w:val="19"/>
                <w:color w:val="auto"/>
              </w:rPr>
            </w:pPr>
          </w:p>
        </w:tc>
      </w:tr>
      <w:tr>
        <w:trPr>
          <w:trHeight w:val="177"/>
        </w:trPr>
        <w:tc>
          <w:tcPr>
            <w:tcW w:w="7200" w:type="dxa"/>
            <w:vAlign w:val="bottom"/>
            <w:tcBorders>
              <w:right w:val="single" w:sz="8" w:color="0033A0"/>
            </w:tcBorders>
          </w:tcPr>
          <w:p>
            <w:pPr>
              <w:spacing w:after="0" w:line="177" w:lineRule="exact"/>
              <w:rPr>
                <w:sz w:val="20"/>
                <w:szCs w:val="20"/>
                <w:color w:val="auto"/>
              </w:rPr>
            </w:pPr>
            <w:r>
              <w:rPr>
                <w:rFonts w:ascii="Arial" w:cs="Arial" w:eastAsia="Arial" w:hAnsi="Arial"/>
                <w:sz w:val="18"/>
                <w:szCs w:val="18"/>
                <w:color w:val="auto"/>
              </w:rPr>
              <w:t>Net loss - GAAP basis</w:t>
            </w:r>
          </w:p>
        </w:tc>
        <w:tc>
          <w:tcPr>
            <w:tcW w:w="2340" w:type="dxa"/>
            <w:vAlign w:val="bottom"/>
            <w:gridSpan w:val="2"/>
          </w:tcPr>
          <w:p>
            <w:pPr>
              <w:jc w:val="right"/>
              <w:spacing w:after="0" w:line="177" w:lineRule="exact"/>
              <w:rPr>
                <w:sz w:val="20"/>
                <w:szCs w:val="20"/>
                <w:color w:val="auto"/>
              </w:rPr>
            </w:pPr>
            <w:r>
              <w:rPr>
                <w:rFonts w:ascii="Arial" w:cs="Arial" w:eastAsia="Arial" w:hAnsi="Arial"/>
                <w:sz w:val="18"/>
                <w:szCs w:val="18"/>
                <w:color w:val="auto"/>
              </w:rPr>
              <w:t>$(69,818)</w:t>
            </w:r>
          </w:p>
        </w:tc>
        <w:tc>
          <w:tcPr>
            <w:tcW w:w="40" w:type="dxa"/>
            <w:vAlign w:val="bottom"/>
            <w:tcBorders>
              <w:right w:val="single" w:sz="8" w:color="0033A0"/>
            </w:tcBorders>
          </w:tcPr>
          <w:p>
            <w:pPr>
              <w:spacing w:after="0"/>
              <w:rPr>
                <w:sz w:val="15"/>
                <w:szCs w:val="15"/>
                <w:color w:val="auto"/>
              </w:rPr>
            </w:pPr>
          </w:p>
        </w:tc>
        <w:tc>
          <w:tcPr>
            <w:tcW w:w="1660" w:type="dxa"/>
            <w:vAlign w:val="bottom"/>
            <w:gridSpan w:val="3"/>
          </w:tcPr>
          <w:p>
            <w:pPr>
              <w:jc w:val="right"/>
              <w:ind w:right="40"/>
              <w:spacing w:after="0" w:line="177" w:lineRule="exact"/>
              <w:rPr>
                <w:sz w:val="20"/>
                <w:szCs w:val="20"/>
                <w:color w:val="auto"/>
              </w:rPr>
            </w:pPr>
            <w:r>
              <w:rPr>
                <w:rFonts w:ascii="Arial" w:cs="Arial" w:eastAsia="Arial" w:hAnsi="Arial"/>
                <w:sz w:val="18"/>
                <w:szCs w:val="18"/>
                <w:color w:val="auto"/>
              </w:rPr>
              <w:t>$(1.45)</w:t>
            </w:r>
          </w:p>
        </w:tc>
      </w:tr>
      <w:tr>
        <w:trPr>
          <w:trHeight w:val="203"/>
        </w:trPr>
        <w:tc>
          <w:tcPr>
            <w:tcW w:w="7200" w:type="dxa"/>
            <w:vAlign w:val="bottom"/>
            <w:tcBorders>
              <w:right w:val="single" w:sz="8" w:color="0033A0"/>
            </w:tcBorders>
          </w:tcPr>
          <w:p>
            <w:pPr>
              <w:ind w:left="180"/>
              <w:spacing w:after="0" w:line="202" w:lineRule="exact"/>
              <w:rPr>
                <w:sz w:val="20"/>
                <w:szCs w:val="20"/>
                <w:color w:val="auto"/>
              </w:rPr>
            </w:pPr>
            <w:r>
              <w:rPr>
                <w:rFonts w:ascii="Arial" w:cs="Arial" w:eastAsia="Arial" w:hAnsi="Arial"/>
                <w:sz w:val="18"/>
                <w:szCs w:val="18"/>
                <w:color w:val="auto"/>
              </w:rPr>
              <w:t>Share-based compensation</w:t>
            </w:r>
          </w:p>
        </w:tc>
        <w:tc>
          <w:tcPr>
            <w:tcW w:w="2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20,740</w:t>
            </w:r>
          </w:p>
        </w:tc>
        <w:tc>
          <w:tcPr>
            <w:tcW w:w="40" w:type="dxa"/>
            <w:vAlign w:val="bottom"/>
            <w:tcBorders>
              <w:right w:val="single" w:sz="8" w:color="0033A0"/>
            </w:tcBorders>
          </w:tcPr>
          <w:p>
            <w:pPr>
              <w:spacing w:after="0"/>
              <w:rPr>
                <w:sz w:val="17"/>
                <w:szCs w:val="17"/>
                <w:color w:val="auto"/>
              </w:rPr>
            </w:pPr>
          </w:p>
        </w:tc>
        <w:tc>
          <w:tcPr>
            <w:tcW w:w="1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0.43</w:t>
            </w:r>
          </w:p>
        </w:tc>
        <w:tc>
          <w:tcPr>
            <w:tcW w:w="40" w:type="dxa"/>
            <w:vAlign w:val="bottom"/>
          </w:tcPr>
          <w:p>
            <w:pPr>
              <w:spacing w:after="0"/>
              <w:rPr>
                <w:sz w:val="17"/>
                <w:szCs w:val="17"/>
                <w:color w:val="auto"/>
              </w:rPr>
            </w:pPr>
          </w:p>
        </w:tc>
      </w:tr>
      <w:tr>
        <w:trPr>
          <w:trHeight w:val="203"/>
        </w:trPr>
        <w:tc>
          <w:tcPr>
            <w:tcW w:w="7200" w:type="dxa"/>
            <w:vAlign w:val="bottom"/>
            <w:tcBorders>
              <w:right w:val="single" w:sz="8" w:color="0033A0"/>
            </w:tcBorders>
          </w:tcPr>
          <w:p>
            <w:pPr>
              <w:ind w:left="180"/>
              <w:spacing w:after="0" w:line="202" w:lineRule="exact"/>
              <w:rPr>
                <w:sz w:val="20"/>
                <w:szCs w:val="20"/>
                <w:color w:val="auto"/>
              </w:rPr>
            </w:pPr>
            <w:r>
              <w:rPr>
                <w:rFonts w:ascii="Arial" w:cs="Arial" w:eastAsia="Arial" w:hAnsi="Arial"/>
                <w:sz w:val="18"/>
                <w:szCs w:val="18"/>
                <w:color w:val="auto"/>
              </w:rPr>
              <w:t>Amortization of purchased intangible assets</w:t>
            </w:r>
          </w:p>
        </w:tc>
        <w:tc>
          <w:tcPr>
            <w:tcW w:w="2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39,087</w:t>
            </w:r>
          </w:p>
        </w:tc>
        <w:tc>
          <w:tcPr>
            <w:tcW w:w="40" w:type="dxa"/>
            <w:vAlign w:val="bottom"/>
            <w:tcBorders>
              <w:right w:val="single" w:sz="8" w:color="0033A0"/>
            </w:tcBorders>
          </w:tcPr>
          <w:p>
            <w:pPr>
              <w:spacing w:after="0"/>
              <w:rPr>
                <w:sz w:val="17"/>
                <w:szCs w:val="17"/>
                <w:color w:val="auto"/>
              </w:rPr>
            </w:pPr>
          </w:p>
        </w:tc>
        <w:tc>
          <w:tcPr>
            <w:tcW w:w="1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0.81</w:t>
            </w:r>
          </w:p>
        </w:tc>
        <w:tc>
          <w:tcPr>
            <w:tcW w:w="40" w:type="dxa"/>
            <w:vAlign w:val="bottom"/>
          </w:tcPr>
          <w:p>
            <w:pPr>
              <w:spacing w:after="0"/>
              <w:rPr>
                <w:sz w:val="17"/>
                <w:szCs w:val="17"/>
                <w:color w:val="auto"/>
              </w:rPr>
            </w:pPr>
          </w:p>
        </w:tc>
      </w:tr>
      <w:tr>
        <w:trPr>
          <w:trHeight w:val="203"/>
        </w:trPr>
        <w:tc>
          <w:tcPr>
            <w:tcW w:w="7200" w:type="dxa"/>
            <w:vAlign w:val="bottom"/>
            <w:tcBorders>
              <w:right w:val="single" w:sz="8" w:color="0033A0"/>
            </w:tcBorders>
          </w:tcPr>
          <w:p>
            <w:pPr>
              <w:ind w:left="180"/>
              <w:spacing w:after="0" w:line="202" w:lineRule="exact"/>
              <w:rPr>
                <w:sz w:val="20"/>
                <w:szCs w:val="20"/>
                <w:color w:val="auto"/>
              </w:rPr>
            </w:pPr>
            <w:r>
              <w:rPr>
                <w:rFonts w:ascii="Arial" w:cs="Arial" w:eastAsia="Arial" w:hAnsi="Arial"/>
                <w:sz w:val="18"/>
                <w:szCs w:val="18"/>
                <w:color w:val="auto"/>
              </w:rPr>
              <w:t>Restructuring charges related to inventory adjustments in cost of sales</w:t>
            </w:r>
          </w:p>
        </w:tc>
        <w:tc>
          <w:tcPr>
            <w:tcW w:w="2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(465)</w:t>
            </w:r>
          </w:p>
        </w:tc>
        <w:tc>
          <w:tcPr>
            <w:tcW w:w="40" w:type="dxa"/>
            <w:vAlign w:val="bottom"/>
            <w:tcBorders>
              <w:right w:val="single" w:sz="8" w:color="0033A0"/>
            </w:tcBorders>
          </w:tcPr>
          <w:p>
            <w:pPr>
              <w:spacing w:after="0"/>
              <w:rPr>
                <w:sz w:val="17"/>
                <w:szCs w:val="17"/>
                <w:color w:val="auto"/>
              </w:rPr>
            </w:pPr>
          </w:p>
        </w:tc>
        <w:tc>
          <w:tcPr>
            <w:tcW w:w="16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(0.01)</w:t>
            </w:r>
          </w:p>
        </w:tc>
      </w:tr>
      <w:tr>
        <w:trPr>
          <w:trHeight w:val="203"/>
        </w:trPr>
        <w:tc>
          <w:tcPr>
            <w:tcW w:w="7200" w:type="dxa"/>
            <w:vAlign w:val="bottom"/>
            <w:tcBorders>
              <w:right w:val="single" w:sz="8" w:color="0033A0"/>
            </w:tcBorders>
          </w:tcPr>
          <w:p>
            <w:pPr>
              <w:ind w:left="180"/>
              <w:spacing w:after="0" w:line="202" w:lineRule="exact"/>
              <w:rPr>
                <w:sz w:val="20"/>
                <w:szCs w:val="20"/>
                <w:color w:val="auto"/>
              </w:rPr>
            </w:pPr>
            <w:r>
              <w:rPr>
                <w:rFonts w:ascii="Arial" w:cs="Arial" w:eastAsia="Arial" w:hAnsi="Arial"/>
                <w:sz w:val="18"/>
                <w:szCs w:val="18"/>
                <w:color w:val="auto"/>
              </w:rPr>
              <w:t>Restructuring charges</w:t>
            </w:r>
          </w:p>
        </w:tc>
        <w:tc>
          <w:tcPr>
            <w:tcW w:w="2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w:t>
            </w:r>
          </w:p>
        </w:tc>
        <w:tc>
          <w:tcPr>
            <w:tcW w:w="40" w:type="dxa"/>
            <w:vAlign w:val="bottom"/>
            <w:tcBorders>
              <w:right w:val="single" w:sz="8" w:color="0033A0"/>
            </w:tcBorders>
          </w:tcPr>
          <w:p>
            <w:pPr>
              <w:spacing w:after="0"/>
              <w:rPr>
                <w:sz w:val="17"/>
                <w:szCs w:val="17"/>
                <w:color w:val="auto"/>
              </w:rPr>
            </w:pPr>
          </w:p>
        </w:tc>
        <w:tc>
          <w:tcPr>
            <w:tcW w:w="1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0.00</w:t>
            </w:r>
          </w:p>
        </w:tc>
        <w:tc>
          <w:tcPr>
            <w:tcW w:w="40" w:type="dxa"/>
            <w:vAlign w:val="bottom"/>
          </w:tcPr>
          <w:p>
            <w:pPr>
              <w:spacing w:after="0"/>
              <w:rPr>
                <w:sz w:val="17"/>
                <w:szCs w:val="17"/>
                <w:color w:val="auto"/>
              </w:rPr>
            </w:pPr>
          </w:p>
        </w:tc>
      </w:tr>
      <w:tr>
        <w:trPr>
          <w:trHeight w:val="203"/>
        </w:trPr>
        <w:tc>
          <w:tcPr>
            <w:tcW w:w="7200" w:type="dxa"/>
            <w:vAlign w:val="bottom"/>
            <w:tcBorders>
              <w:right w:val="single" w:sz="8" w:color="0033A0"/>
            </w:tcBorders>
          </w:tcPr>
          <w:p>
            <w:pPr>
              <w:ind w:left="180"/>
              <w:spacing w:after="0" w:line="202" w:lineRule="exact"/>
              <w:rPr>
                <w:sz w:val="20"/>
                <w:szCs w:val="20"/>
                <w:color w:val="auto"/>
              </w:rPr>
            </w:pPr>
            <w:r>
              <w:rPr>
                <w:rFonts w:ascii="Arial" w:cs="Arial" w:eastAsia="Arial" w:hAnsi="Arial"/>
                <w:sz w:val="18"/>
                <w:szCs w:val="18"/>
                <w:color w:val="auto"/>
              </w:rPr>
              <w:t>Manufacturing transition and severance costs</w:t>
            </w:r>
          </w:p>
        </w:tc>
        <w:tc>
          <w:tcPr>
            <w:tcW w:w="2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3,487</w:t>
            </w:r>
          </w:p>
        </w:tc>
        <w:tc>
          <w:tcPr>
            <w:tcW w:w="40" w:type="dxa"/>
            <w:vAlign w:val="bottom"/>
            <w:tcBorders>
              <w:right w:val="single" w:sz="8" w:color="0033A0"/>
            </w:tcBorders>
          </w:tcPr>
          <w:p>
            <w:pPr>
              <w:spacing w:after="0"/>
              <w:rPr>
                <w:sz w:val="17"/>
                <w:szCs w:val="17"/>
                <w:color w:val="auto"/>
              </w:rPr>
            </w:pPr>
          </w:p>
        </w:tc>
        <w:tc>
          <w:tcPr>
            <w:tcW w:w="1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0.07</w:t>
            </w:r>
          </w:p>
        </w:tc>
        <w:tc>
          <w:tcPr>
            <w:tcW w:w="40" w:type="dxa"/>
            <w:vAlign w:val="bottom"/>
          </w:tcPr>
          <w:p>
            <w:pPr>
              <w:spacing w:after="0"/>
              <w:rPr>
                <w:sz w:val="17"/>
                <w:szCs w:val="17"/>
                <w:color w:val="auto"/>
              </w:rPr>
            </w:pPr>
          </w:p>
        </w:tc>
      </w:tr>
      <w:tr>
        <w:trPr>
          <w:trHeight w:val="203"/>
        </w:trPr>
        <w:tc>
          <w:tcPr>
            <w:tcW w:w="7200" w:type="dxa"/>
            <w:vAlign w:val="bottom"/>
            <w:tcBorders>
              <w:right w:val="single" w:sz="8" w:color="0033A0"/>
            </w:tcBorders>
          </w:tcPr>
          <w:p>
            <w:pPr>
              <w:ind w:left="180"/>
              <w:spacing w:after="0" w:line="202" w:lineRule="exact"/>
              <w:rPr>
                <w:sz w:val="20"/>
                <w:szCs w:val="20"/>
                <w:color w:val="auto"/>
              </w:rPr>
            </w:pPr>
            <w:r>
              <w:rPr>
                <w:rFonts w:ascii="Arial" w:cs="Arial" w:eastAsia="Arial" w:hAnsi="Arial"/>
                <w:sz w:val="18"/>
                <w:szCs w:val="18"/>
                <w:color w:val="auto"/>
              </w:rPr>
              <w:t>Impairment charges included in SG&amp;A</w:t>
            </w:r>
          </w:p>
        </w:tc>
        <w:tc>
          <w:tcPr>
            <w:tcW w:w="2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903</w:t>
            </w:r>
          </w:p>
        </w:tc>
        <w:tc>
          <w:tcPr>
            <w:tcW w:w="40" w:type="dxa"/>
            <w:vAlign w:val="bottom"/>
            <w:tcBorders>
              <w:right w:val="single" w:sz="8" w:color="0033A0"/>
            </w:tcBorders>
          </w:tcPr>
          <w:p>
            <w:pPr>
              <w:spacing w:after="0"/>
              <w:rPr>
                <w:sz w:val="17"/>
                <w:szCs w:val="17"/>
                <w:color w:val="auto"/>
              </w:rPr>
            </w:pPr>
          </w:p>
        </w:tc>
        <w:tc>
          <w:tcPr>
            <w:tcW w:w="1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0.02</w:t>
            </w:r>
          </w:p>
        </w:tc>
        <w:tc>
          <w:tcPr>
            <w:tcW w:w="40" w:type="dxa"/>
            <w:vAlign w:val="bottom"/>
          </w:tcPr>
          <w:p>
            <w:pPr>
              <w:spacing w:after="0"/>
              <w:rPr>
                <w:sz w:val="17"/>
                <w:szCs w:val="17"/>
                <w:color w:val="auto"/>
              </w:rPr>
            </w:pPr>
          </w:p>
        </w:tc>
      </w:tr>
      <w:tr>
        <w:trPr>
          <w:trHeight w:val="203"/>
        </w:trPr>
        <w:tc>
          <w:tcPr>
            <w:tcW w:w="7200" w:type="dxa"/>
            <w:vAlign w:val="bottom"/>
            <w:tcBorders>
              <w:right w:val="single" w:sz="8" w:color="0033A0"/>
            </w:tcBorders>
          </w:tcPr>
          <w:p>
            <w:pPr>
              <w:ind w:left="180"/>
              <w:spacing w:after="0" w:line="202" w:lineRule="exact"/>
              <w:rPr>
                <w:sz w:val="20"/>
                <w:szCs w:val="20"/>
                <w:color w:val="auto"/>
              </w:rPr>
            </w:pPr>
            <w:r>
              <w:rPr>
                <w:rFonts w:ascii="Arial" w:cs="Arial" w:eastAsia="Arial" w:hAnsi="Arial"/>
                <w:sz w:val="18"/>
                <w:szCs w:val="18"/>
                <w:color w:val="auto"/>
              </w:rPr>
              <w:t>Other acquisition costs</w:t>
            </w:r>
          </w:p>
        </w:tc>
        <w:tc>
          <w:tcPr>
            <w:tcW w:w="2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582</w:t>
            </w:r>
          </w:p>
        </w:tc>
        <w:tc>
          <w:tcPr>
            <w:tcW w:w="40" w:type="dxa"/>
            <w:vAlign w:val="bottom"/>
            <w:tcBorders>
              <w:right w:val="single" w:sz="8" w:color="0033A0"/>
            </w:tcBorders>
          </w:tcPr>
          <w:p>
            <w:pPr>
              <w:spacing w:after="0"/>
              <w:rPr>
                <w:sz w:val="17"/>
                <w:szCs w:val="17"/>
                <w:color w:val="auto"/>
              </w:rPr>
            </w:pPr>
          </w:p>
        </w:tc>
        <w:tc>
          <w:tcPr>
            <w:tcW w:w="1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0.01</w:t>
            </w:r>
          </w:p>
        </w:tc>
        <w:tc>
          <w:tcPr>
            <w:tcW w:w="40" w:type="dxa"/>
            <w:vAlign w:val="bottom"/>
          </w:tcPr>
          <w:p>
            <w:pPr>
              <w:spacing w:after="0"/>
              <w:rPr>
                <w:sz w:val="17"/>
                <w:szCs w:val="17"/>
                <w:color w:val="auto"/>
              </w:rPr>
            </w:pPr>
          </w:p>
        </w:tc>
      </w:tr>
      <w:tr>
        <w:trPr>
          <w:trHeight w:val="203"/>
        </w:trPr>
        <w:tc>
          <w:tcPr>
            <w:tcW w:w="7200" w:type="dxa"/>
            <w:vAlign w:val="bottom"/>
            <w:tcBorders>
              <w:right w:val="single" w:sz="8" w:color="0033A0"/>
            </w:tcBorders>
          </w:tcPr>
          <w:p>
            <w:pPr>
              <w:ind w:left="180"/>
              <w:spacing w:after="0" w:line="202" w:lineRule="exact"/>
              <w:rPr>
                <w:sz w:val="20"/>
                <w:szCs w:val="20"/>
                <w:color w:val="auto"/>
              </w:rPr>
            </w:pPr>
            <w:r>
              <w:rPr>
                <w:rFonts w:ascii="Arial" w:cs="Arial" w:eastAsia="Arial" w:hAnsi="Arial"/>
                <w:sz w:val="18"/>
                <w:szCs w:val="18"/>
                <w:color w:val="auto"/>
              </w:rPr>
              <w:t>PP&amp;E step-up included in SG&amp;A</w:t>
            </w:r>
          </w:p>
        </w:tc>
        <w:tc>
          <w:tcPr>
            <w:tcW w:w="2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w:t>
            </w:r>
          </w:p>
        </w:tc>
        <w:tc>
          <w:tcPr>
            <w:tcW w:w="40" w:type="dxa"/>
            <w:vAlign w:val="bottom"/>
            <w:tcBorders>
              <w:right w:val="single" w:sz="8" w:color="0033A0"/>
            </w:tcBorders>
          </w:tcPr>
          <w:p>
            <w:pPr>
              <w:spacing w:after="0"/>
              <w:rPr>
                <w:sz w:val="17"/>
                <w:szCs w:val="17"/>
                <w:color w:val="auto"/>
              </w:rPr>
            </w:pPr>
          </w:p>
        </w:tc>
        <w:tc>
          <w:tcPr>
            <w:tcW w:w="1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0.00</w:t>
            </w:r>
          </w:p>
        </w:tc>
        <w:tc>
          <w:tcPr>
            <w:tcW w:w="40" w:type="dxa"/>
            <w:vAlign w:val="bottom"/>
          </w:tcPr>
          <w:p>
            <w:pPr>
              <w:spacing w:after="0"/>
              <w:rPr>
                <w:sz w:val="17"/>
                <w:szCs w:val="17"/>
                <w:color w:val="auto"/>
              </w:rPr>
            </w:pPr>
          </w:p>
        </w:tc>
      </w:tr>
      <w:tr>
        <w:trPr>
          <w:trHeight w:val="203"/>
        </w:trPr>
        <w:tc>
          <w:tcPr>
            <w:tcW w:w="7200" w:type="dxa"/>
            <w:vAlign w:val="bottom"/>
            <w:tcBorders>
              <w:right w:val="single" w:sz="8" w:color="0033A0"/>
            </w:tcBorders>
          </w:tcPr>
          <w:p>
            <w:pPr>
              <w:ind w:left="180"/>
              <w:spacing w:after="0" w:line="202" w:lineRule="exact"/>
              <w:rPr>
                <w:sz w:val="20"/>
                <w:szCs w:val="20"/>
                <w:color w:val="auto"/>
              </w:rPr>
            </w:pPr>
            <w:r>
              <w:rPr>
                <w:rFonts w:ascii="Arial" w:cs="Arial" w:eastAsia="Arial" w:hAnsi="Arial"/>
                <w:sz w:val="18"/>
                <w:szCs w:val="18"/>
                <w:color w:val="auto"/>
              </w:rPr>
              <w:t>Reduction of indemnification receivable</w:t>
            </w:r>
          </w:p>
        </w:tc>
        <w:tc>
          <w:tcPr>
            <w:tcW w:w="2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506</w:t>
            </w:r>
          </w:p>
        </w:tc>
        <w:tc>
          <w:tcPr>
            <w:tcW w:w="40" w:type="dxa"/>
            <w:vAlign w:val="bottom"/>
            <w:tcBorders>
              <w:right w:val="single" w:sz="8" w:color="0033A0"/>
            </w:tcBorders>
          </w:tcPr>
          <w:p>
            <w:pPr>
              <w:spacing w:after="0"/>
              <w:rPr>
                <w:sz w:val="17"/>
                <w:szCs w:val="17"/>
                <w:color w:val="auto"/>
              </w:rPr>
            </w:pPr>
          </w:p>
        </w:tc>
        <w:tc>
          <w:tcPr>
            <w:tcW w:w="1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0.01</w:t>
            </w:r>
          </w:p>
        </w:tc>
        <w:tc>
          <w:tcPr>
            <w:tcW w:w="40" w:type="dxa"/>
            <w:vAlign w:val="bottom"/>
          </w:tcPr>
          <w:p>
            <w:pPr>
              <w:spacing w:after="0"/>
              <w:rPr>
                <w:sz w:val="17"/>
                <w:szCs w:val="17"/>
                <w:color w:val="auto"/>
              </w:rPr>
            </w:pPr>
          </w:p>
        </w:tc>
      </w:tr>
      <w:tr>
        <w:trPr>
          <w:trHeight w:val="221"/>
        </w:trPr>
        <w:tc>
          <w:tcPr>
            <w:tcW w:w="7200" w:type="dxa"/>
            <w:vAlign w:val="bottom"/>
            <w:tcBorders>
              <w:bottom w:val="single" w:sz="8" w:color="0033A0"/>
              <w:right w:val="single" w:sz="8" w:color="0033A0"/>
            </w:tcBorders>
          </w:tcPr>
          <w:p>
            <w:pPr>
              <w:ind w:left="180"/>
              <w:spacing w:after="0"/>
              <w:rPr>
                <w:sz w:val="20"/>
                <w:szCs w:val="20"/>
                <w:color w:val="auto"/>
              </w:rPr>
            </w:pPr>
            <w:r>
              <w:rPr>
                <w:rFonts w:ascii="Arial" w:cs="Arial" w:eastAsia="Arial" w:hAnsi="Arial"/>
                <w:sz w:val="18"/>
                <w:szCs w:val="18"/>
                <w:color w:val="auto"/>
              </w:rPr>
              <w:t>Tax effect of non-GAAP adjustments</w:t>
            </w:r>
          </w:p>
        </w:tc>
        <w:tc>
          <w:tcPr>
            <w:tcW w:w="2340" w:type="dxa"/>
            <w:vAlign w:val="bottom"/>
            <w:tcBorders>
              <w:bottom w:val="single" w:sz="8" w:color="0033A0"/>
            </w:tcBorders>
            <w:gridSpan w:val="2"/>
          </w:tcPr>
          <w:p>
            <w:pPr>
              <w:jc w:val="right"/>
              <w:spacing w:after="0"/>
              <w:rPr>
                <w:sz w:val="20"/>
                <w:szCs w:val="20"/>
                <w:color w:val="auto"/>
              </w:rPr>
            </w:pPr>
            <w:r>
              <w:rPr>
                <w:rFonts w:ascii="Arial" w:cs="Arial" w:eastAsia="Arial" w:hAnsi="Arial"/>
                <w:sz w:val="18"/>
                <w:szCs w:val="18"/>
                <w:color w:val="auto"/>
              </w:rPr>
              <w:t>(5,954)</w:t>
            </w:r>
          </w:p>
        </w:tc>
        <w:tc>
          <w:tcPr>
            <w:tcW w:w="40" w:type="dxa"/>
            <w:vAlign w:val="bottom"/>
            <w:tcBorders>
              <w:bottom w:val="single" w:sz="8" w:color="0033A0"/>
              <w:right w:val="single" w:sz="8" w:color="0033A0"/>
            </w:tcBorders>
          </w:tcPr>
          <w:p>
            <w:pPr>
              <w:spacing w:after="0"/>
              <w:rPr>
                <w:sz w:val="19"/>
                <w:szCs w:val="19"/>
                <w:color w:val="auto"/>
              </w:rPr>
            </w:pPr>
          </w:p>
        </w:tc>
        <w:tc>
          <w:tcPr>
            <w:tcW w:w="1660" w:type="dxa"/>
            <w:vAlign w:val="bottom"/>
            <w:tcBorders>
              <w:bottom w:val="single" w:sz="8" w:color="0033A0"/>
            </w:tcBorders>
            <w:gridSpan w:val="3"/>
          </w:tcPr>
          <w:p>
            <w:pPr>
              <w:jc w:val="right"/>
              <w:ind w:right="40"/>
              <w:spacing w:after="0"/>
              <w:rPr>
                <w:sz w:val="20"/>
                <w:szCs w:val="20"/>
                <w:color w:val="auto"/>
              </w:rPr>
            </w:pPr>
            <w:r>
              <w:rPr>
                <w:rFonts w:ascii="Arial" w:cs="Arial" w:eastAsia="Arial" w:hAnsi="Arial"/>
                <w:sz w:val="18"/>
                <w:szCs w:val="18"/>
                <w:color w:val="auto"/>
              </w:rPr>
              <w:t>(0.12)</w:t>
            </w:r>
          </w:p>
        </w:tc>
      </w:tr>
      <w:tr>
        <w:trPr>
          <w:trHeight w:val="169"/>
        </w:trPr>
        <w:tc>
          <w:tcPr>
            <w:tcW w:w="7200" w:type="dxa"/>
            <w:vAlign w:val="bottom"/>
            <w:tcBorders>
              <w:right w:val="single" w:sz="8" w:color="0033A0"/>
            </w:tcBorders>
          </w:tcPr>
          <w:p>
            <w:pPr>
              <w:spacing w:after="0" w:line="169" w:lineRule="exact"/>
              <w:rPr>
                <w:sz w:val="20"/>
                <w:szCs w:val="20"/>
                <w:color w:val="auto"/>
              </w:rPr>
            </w:pPr>
            <w:r>
              <w:rPr>
                <w:rFonts w:ascii="Arial" w:cs="Arial" w:eastAsia="Arial" w:hAnsi="Arial"/>
                <w:sz w:val="18"/>
                <w:szCs w:val="18"/>
                <w:color w:val="auto"/>
              </w:rPr>
              <w:t>Net loss - non-GAAP basis</w:t>
            </w:r>
          </w:p>
        </w:tc>
        <w:tc>
          <w:tcPr>
            <w:tcW w:w="2340" w:type="dxa"/>
            <w:vAlign w:val="bottom"/>
            <w:gridSpan w:val="2"/>
          </w:tcPr>
          <w:p>
            <w:pPr>
              <w:jc w:val="right"/>
              <w:spacing w:after="0" w:line="16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(10,855)</w:t>
            </w:r>
          </w:p>
        </w:tc>
        <w:tc>
          <w:tcPr>
            <w:tcW w:w="40" w:type="dxa"/>
            <w:vAlign w:val="bottom"/>
            <w:tcBorders>
              <w:right w:val="single" w:sz="8" w:color="0033A0"/>
            </w:tcBorders>
          </w:tcPr>
          <w:p>
            <w:pPr>
              <w:spacing w:after="0"/>
              <w:rPr>
                <w:sz w:val="14"/>
                <w:szCs w:val="14"/>
                <w:color w:val="auto"/>
              </w:rPr>
            </w:pPr>
          </w:p>
        </w:tc>
        <w:tc>
          <w:tcPr>
            <w:tcW w:w="1660" w:type="dxa"/>
            <w:vAlign w:val="bottom"/>
            <w:gridSpan w:val="3"/>
          </w:tcPr>
          <w:p>
            <w:pPr>
              <w:jc w:val="right"/>
              <w:ind w:right="40"/>
              <w:spacing w:after="0" w:line="16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(0.23)</w:t>
            </w:r>
          </w:p>
        </w:tc>
      </w:tr>
      <w:tr>
        <w:trPr>
          <w:trHeight w:val="20"/>
        </w:trPr>
        <w:tc>
          <w:tcPr>
            <w:tcW w:w="7200" w:type="dxa"/>
            <w:vAlign w:val="bottom"/>
            <w:tcBorders>
              <w:bottom w:val="single" w:sz="8" w:color="0033A0"/>
              <w:right w:val="single" w:sz="8" w:color="0033A0"/>
            </w:tcBorders>
          </w:tcPr>
          <w:p>
            <w:pPr>
              <w:spacing w:after="0" w:line="20" w:lineRule="exact"/>
              <w:rPr>
                <w:sz w:val="1"/>
                <w:szCs w:val="1"/>
                <w:color w:val="auto"/>
              </w:rPr>
            </w:pPr>
          </w:p>
        </w:tc>
        <w:tc>
          <w:tcPr>
            <w:tcW w:w="1560" w:type="dxa"/>
            <w:vAlign w:val="bottom"/>
            <w:tcBorders>
              <w:bottom w:val="single" w:sz="8" w:color="0033A0"/>
            </w:tcBorders>
          </w:tcPr>
          <w:p>
            <w:pPr>
              <w:spacing w:after="0" w:line="20" w:lineRule="exact"/>
              <w:rPr>
                <w:sz w:val="1"/>
                <w:szCs w:val="1"/>
                <w:color w:val="auto"/>
              </w:rPr>
            </w:pPr>
          </w:p>
        </w:tc>
        <w:tc>
          <w:tcPr>
            <w:tcW w:w="780" w:type="dxa"/>
            <w:vAlign w:val="bottom"/>
            <w:tcBorders>
              <w:top w:val="single" w:sz="8" w:color="auto"/>
              <w:bottom w:val="single" w:sz="8" w:color="0033A0"/>
            </w:tcBorders>
          </w:tcPr>
          <w:p>
            <w:pPr>
              <w:spacing w:after="0" w:line="20" w:lineRule="exact"/>
              <w:rPr>
                <w:sz w:val="1"/>
                <w:szCs w:val="1"/>
                <w:color w:val="auto"/>
              </w:rPr>
            </w:pPr>
          </w:p>
        </w:tc>
        <w:tc>
          <w:tcPr>
            <w:tcW w:w="40" w:type="dxa"/>
            <w:vAlign w:val="bottom"/>
            <w:tcBorders>
              <w:bottom w:val="single" w:sz="8" w:color="0033A0"/>
              <w:right w:val="single" w:sz="8" w:color="0033A0"/>
            </w:tcBorders>
          </w:tcPr>
          <w:p>
            <w:pPr>
              <w:spacing w:after="0" w:line="20" w:lineRule="exact"/>
              <w:rPr>
                <w:sz w:val="1"/>
                <w:szCs w:val="1"/>
                <w:color w:val="auto"/>
              </w:rPr>
            </w:pPr>
          </w:p>
        </w:tc>
        <w:tc>
          <w:tcPr>
            <w:tcW w:w="1040" w:type="dxa"/>
            <w:vAlign w:val="bottom"/>
            <w:tcBorders>
              <w:bottom w:val="single" w:sz="8" w:color="0033A0"/>
            </w:tcBorders>
          </w:tcPr>
          <w:p>
            <w:pPr>
              <w:spacing w:after="0" w:line="20" w:lineRule="exact"/>
              <w:rPr>
                <w:sz w:val="1"/>
                <w:szCs w:val="1"/>
                <w:color w:val="auto"/>
              </w:rPr>
            </w:pPr>
          </w:p>
        </w:tc>
        <w:tc>
          <w:tcPr>
            <w:tcW w:w="580" w:type="dxa"/>
            <w:vAlign w:val="bottom"/>
            <w:tcBorders>
              <w:top w:val="single" w:sz="8" w:color="auto"/>
              <w:bottom w:val="single" w:sz="8" w:color="0033A0"/>
            </w:tcBorders>
          </w:tcPr>
          <w:p>
            <w:pPr>
              <w:spacing w:after="0" w:line="20" w:lineRule="exact"/>
              <w:rPr>
                <w:sz w:val="1"/>
                <w:szCs w:val="1"/>
                <w:color w:val="auto"/>
              </w:rPr>
            </w:pPr>
          </w:p>
        </w:tc>
        <w:tc>
          <w:tcPr>
            <w:tcW w:w="40" w:type="dxa"/>
            <w:vAlign w:val="bottom"/>
            <w:tcBorders>
              <w:bottom w:val="single" w:sz="8" w:color="0033A0"/>
            </w:tcBorders>
          </w:tcPr>
          <w:p>
            <w:pPr>
              <w:spacing w:after="0" w:line="20" w:lineRule="exact"/>
              <w:rPr>
                <w:sz w:val="1"/>
                <w:szCs w:val="1"/>
                <w:color w:val="auto"/>
              </w:rPr>
            </w:pPr>
          </w:p>
        </w:tc>
      </w:tr>
      <w:tr>
        <w:trPr>
          <w:trHeight w:val="164"/>
        </w:trPr>
        <w:tc>
          <w:tcPr>
            <w:tcW w:w="7200" w:type="dxa"/>
            <w:vAlign w:val="bottom"/>
            <w:tcBorders>
              <w:right w:val="single" w:sz="8" w:color="0033A0"/>
            </w:tcBorders>
          </w:tcPr>
          <w:p>
            <w:pPr>
              <w:spacing w:after="0" w:line="164" w:lineRule="exact"/>
              <w:rPr>
                <w:sz w:val="20"/>
                <w:szCs w:val="20"/>
                <w:color w:val="auto"/>
              </w:rPr>
            </w:pPr>
            <w:r>
              <w:rPr>
                <w:rFonts w:ascii="Arial" w:cs="Arial" w:eastAsia="Arial" w:hAnsi="Arial"/>
                <w:sz w:val="18"/>
                <w:szCs w:val="18"/>
                <w:color w:val="auto"/>
              </w:rPr>
              <w:t>Weighted average diluted shares used in computing loss per</w:t>
            </w:r>
          </w:p>
        </w:tc>
        <w:tc>
          <w:tcPr>
            <w:tcW w:w="1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Borders>
              <w:right w:val="single" w:sz="8" w:color="0033A0"/>
            </w:tcBorders>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3"/>
        </w:trPr>
        <w:tc>
          <w:tcPr>
            <w:tcW w:w="7200" w:type="dxa"/>
            <w:vAlign w:val="bottom"/>
            <w:tcBorders>
              <w:right w:val="single" w:sz="8" w:color="0033A0"/>
            </w:tcBorders>
          </w:tcPr>
          <w:p>
            <w:pPr>
              <w:spacing w:after="0" w:line="202" w:lineRule="exact"/>
              <w:rPr>
                <w:sz w:val="20"/>
                <w:szCs w:val="20"/>
                <w:color w:val="auto"/>
              </w:rPr>
            </w:pPr>
            <w:r>
              <w:rPr>
                <w:rFonts w:ascii="Arial" w:cs="Arial" w:eastAsia="Arial" w:hAnsi="Arial"/>
                <w:sz w:val="18"/>
                <w:szCs w:val="18"/>
                <w:color w:val="auto"/>
              </w:rPr>
              <w:t>share:</w:t>
            </w:r>
          </w:p>
        </w:tc>
        <w:tc>
          <w:tcPr>
            <w:tcW w:w="1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Borders>
              <w:right w:val="single" w:sz="8" w:color="0033A0"/>
            </w:tcBorders>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7200" w:type="dxa"/>
            <w:vAlign w:val="bottom"/>
            <w:tcBorders>
              <w:right w:val="single" w:sz="8" w:color="0033A0"/>
            </w:tcBorders>
          </w:tcPr>
          <w:p>
            <w:pPr>
              <w:ind w:left="180"/>
              <w:spacing w:after="0" w:line="202" w:lineRule="exact"/>
              <w:rPr>
                <w:sz w:val="20"/>
                <w:szCs w:val="20"/>
                <w:color w:val="auto"/>
              </w:rPr>
            </w:pPr>
            <w:r>
              <w:rPr>
                <w:rFonts w:ascii="Arial" w:cs="Arial" w:eastAsia="Arial" w:hAnsi="Arial"/>
                <w:sz w:val="18"/>
                <w:szCs w:val="18"/>
                <w:color w:val="auto"/>
              </w:rPr>
              <w:t>GAAP-basis</w:t>
            </w:r>
          </w:p>
        </w:tc>
        <w:tc>
          <w:tcPr>
            <w:tcW w:w="1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Borders>
              <w:right w:val="single" w:sz="8" w:color="0033A0"/>
            </w:tcBorders>
          </w:tcPr>
          <w:p>
            <w:pPr>
              <w:spacing w:after="0"/>
              <w:rPr>
                <w:sz w:val="17"/>
                <w:szCs w:val="17"/>
                <w:color w:val="auto"/>
              </w:rPr>
            </w:pPr>
          </w:p>
        </w:tc>
        <w:tc>
          <w:tcPr>
            <w:tcW w:w="1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46,908</w:t>
            </w:r>
          </w:p>
        </w:tc>
        <w:tc>
          <w:tcPr>
            <w:tcW w:w="40" w:type="dxa"/>
            <w:vAlign w:val="bottom"/>
          </w:tcPr>
          <w:p>
            <w:pPr>
              <w:spacing w:after="0"/>
              <w:rPr>
                <w:sz w:val="17"/>
                <w:szCs w:val="17"/>
                <w:color w:val="auto"/>
              </w:rPr>
            </w:pPr>
          </w:p>
        </w:tc>
      </w:tr>
      <w:tr>
        <w:trPr>
          <w:trHeight w:val="221"/>
        </w:trPr>
        <w:tc>
          <w:tcPr>
            <w:tcW w:w="7200" w:type="dxa"/>
            <w:vAlign w:val="bottom"/>
            <w:tcBorders>
              <w:right w:val="single" w:sz="8" w:color="0033A0"/>
            </w:tcBorders>
          </w:tcPr>
          <w:p>
            <w:pPr>
              <w:ind w:left="180"/>
              <w:spacing w:after="0"/>
              <w:rPr>
                <w:sz w:val="20"/>
                <w:szCs w:val="20"/>
                <w:color w:val="auto"/>
              </w:rPr>
            </w:pPr>
            <w:r>
              <w:rPr>
                <w:rFonts w:ascii="Arial" w:cs="Arial" w:eastAsia="Arial" w:hAnsi="Arial"/>
                <w:sz w:val="18"/>
                <w:szCs w:val="18"/>
                <w:color w:val="auto"/>
              </w:rPr>
              <w:t>Non-GAAP basis</w:t>
            </w:r>
          </w:p>
        </w:tc>
        <w:tc>
          <w:tcPr>
            <w:tcW w:w="1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Borders>
              <w:right w:val="single" w:sz="8" w:color="0033A0"/>
            </w:tcBorders>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46,908</w:t>
            </w:r>
          </w:p>
        </w:tc>
        <w:tc>
          <w:tcPr>
            <w:tcW w:w="40" w:type="dxa"/>
            <w:vAlign w:val="bottom"/>
          </w:tcPr>
          <w:p>
            <w:pPr>
              <w:spacing w:after="0"/>
              <w:rPr>
                <w:sz w:val="19"/>
                <w:szCs w:val="19"/>
                <w:color w:val="auto"/>
              </w:rPr>
            </w:pPr>
          </w:p>
        </w:tc>
      </w:tr>
      <w:tr>
        <w:trPr>
          <w:trHeight w:val="423"/>
        </w:trPr>
        <w:tc>
          <w:tcPr>
            <w:tcW w:w="7200" w:type="dxa"/>
            <w:vAlign w:val="bottom"/>
          </w:tcPr>
          <w:p>
            <w:pPr>
              <w:ind w:left="5520"/>
              <w:spacing w:after="0"/>
              <w:rPr>
                <w:sz w:val="20"/>
                <w:szCs w:val="20"/>
                <w:color w:val="auto"/>
              </w:rPr>
            </w:pPr>
            <w:r>
              <w:rPr>
                <w:rFonts w:ascii="Arial" w:cs="Arial" w:eastAsia="Arial" w:hAnsi="Arial"/>
                <w:sz w:val="18"/>
                <w:szCs w:val="18"/>
                <w:color w:val="auto"/>
              </w:rPr>
              <w:t>67</w:t>
            </w:r>
          </w:p>
        </w:tc>
        <w:tc>
          <w:tcPr>
            <w:tcW w:w="1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8"/>
        </w:trPr>
        <w:tc>
          <w:tcPr>
            <w:tcW w:w="72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00" w:type="dxa"/>
            <w:vAlign w:val="bottom"/>
            <w:tcBorders>
              <w:top w:val="single" w:sz="8" w:color="0033A0"/>
              <w:right w:val="single" w:sz="8" w:color="0033A0"/>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Gross Profit Reconciliation (</w:t>
            </w:r>
            <w:r>
              <w:rPr>
                <w:rFonts w:ascii="Arial" w:cs="Arial" w:eastAsia="Arial" w:hAnsi="Arial"/>
                <w:sz w:val="18"/>
                <w:szCs w:val="18"/>
                <w:b w:val="1"/>
                <w:bCs w:val="1"/>
                <w:i w:val="1"/>
                <w:iCs w:val="1"/>
                <w:color w:val="FFFFFF"/>
              </w:rPr>
              <w:t>in thousands</w:t>
            </w:r>
            <w:r>
              <w:rPr>
                <w:rFonts w:ascii="Arial" w:cs="Arial" w:eastAsia="Arial" w:hAnsi="Arial"/>
                <w:sz w:val="18"/>
                <w:szCs w:val="18"/>
                <w:b w:val="1"/>
                <w:bCs w:val="1"/>
                <w:color w:val="FFFFFF"/>
              </w:rPr>
              <w:t>)</w:t>
            </w:r>
          </w:p>
        </w:tc>
        <w:tc>
          <w:tcPr>
            <w:tcW w:w="2100" w:type="dxa"/>
            <w:vAlign w:val="bottom"/>
            <w:tcBorders>
              <w:top w:val="single" w:sz="8" w:color="0033A0"/>
            </w:tcBorders>
            <w:gridSpan w:val="5"/>
            <w:shd w:val="clear" w:color="auto" w:fill="2D53A6"/>
          </w:tcPr>
          <w:p>
            <w:pPr>
              <w:jc w:val="right"/>
              <w:ind w:right="200"/>
              <w:spacing w:after="0" w:line="197" w:lineRule="exact"/>
              <w:rPr>
                <w:sz w:val="20"/>
                <w:szCs w:val="20"/>
                <w:color w:val="auto"/>
              </w:rPr>
            </w:pPr>
            <w:r>
              <w:rPr>
                <w:rFonts w:ascii="Arial" w:cs="Arial" w:eastAsia="Arial" w:hAnsi="Arial"/>
                <w:sz w:val="18"/>
                <w:szCs w:val="18"/>
                <w:b w:val="1"/>
                <w:bCs w:val="1"/>
                <w:color w:val="FFFFFF"/>
                <w:w w:val="99"/>
              </w:rPr>
              <w:t>Twelve Months Ended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8000" w:type="dxa"/>
            <w:vAlign w:val="bottom"/>
            <w:tcBorders>
              <w:right w:val="single" w:sz="8" w:color="0033A0"/>
            </w:tcBorders>
            <w:vMerge w:val="continue"/>
            <w:shd w:val="clear" w:color="auto" w:fill="2D53A6"/>
          </w:tcPr>
          <w:p>
            <w:pPr>
              <w:spacing w:after="0"/>
              <w:rPr>
                <w:sz w:val="12"/>
                <w:szCs w:val="12"/>
                <w:color w:val="auto"/>
              </w:rPr>
            </w:pPr>
          </w:p>
        </w:tc>
        <w:tc>
          <w:tcPr>
            <w:tcW w:w="2100" w:type="dxa"/>
            <w:vAlign w:val="bottom"/>
            <w:gridSpan w:val="5"/>
            <w:vMerge w:val="restart"/>
            <w:shd w:val="clear" w:color="auto" w:fill="2D53A6"/>
          </w:tcPr>
          <w:p>
            <w:pPr>
              <w:jc w:val="right"/>
              <w:ind w:right="340"/>
              <w:spacing w:after="0"/>
              <w:rPr>
                <w:sz w:val="20"/>
                <w:szCs w:val="20"/>
                <w:color w:val="auto"/>
              </w:rPr>
            </w:pPr>
            <w:r>
              <w:rPr>
                <w:rFonts w:ascii="Arial" w:cs="Arial" w:eastAsia="Arial" w:hAnsi="Arial"/>
                <w:sz w:val="18"/>
                <w:szCs w:val="18"/>
                <w:b w:val="1"/>
                <w:bCs w:val="1"/>
                <w:color w:val="FFFFFF"/>
              </w:rPr>
              <w:t>December 28, 2024</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8000" w:type="dxa"/>
            <w:vAlign w:val="bottom"/>
            <w:tcBorders>
              <w:bottom w:val="single" w:sz="8" w:color="0033A0"/>
              <w:right w:val="single" w:sz="8" w:color="0033A0"/>
            </w:tcBorders>
            <w:shd w:val="clear" w:color="auto" w:fill="2D53A6"/>
          </w:tcPr>
          <w:p>
            <w:pPr>
              <w:spacing w:after="0"/>
              <w:rPr>
                <w:sz w:val="7"/>
                <w:szCs w:val="7"/>
                <w:color w:val="auto"/>
              </w:rPr>
            </w:pPr>
          </w:p>
        </w:tc>
        <w:tc>
          <w:tcPr>
            <w:tcW w:w="2100" w:type="dxa"/>
            <w:vAlign w:val="bottom"/>
            <w:tcBorders>
              <w:bottom w:val="single" w:sz="8" w:color="0033A0"/>
            </w:tcBorders>
            <w:gridSpan w:val="5"/>
            <w:vMerge w:val="continue"/>
            <w:shd w:val="clear" w:color="auto" w:fill="2D53A6"/>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8000" w:type="dxa"/>
            <w:vAlign w:val="bottom"/>
            <w:tcBorders>
              <w:right w:val="single" w:sz="8" w:color="0033A0"/>
            </w:tcBorders>
          </w:tcPr>
          <w:p>
            <w:pPr>
              <w:spacing w:after="0"/>
              <w:rPr>
                <w:sz w:val="20"/>
                <w:szCs w:val="20"/>
                <w:color w:val="auto"/>
              </w:rPr>
            </w:pPr>
            <w:r>
              <w:rPr>
                <w:rFonts w:ascii="Arial" w:cs="Arial" w:eastAsia="Arial" w:hAnsi="Arial"/>
                <w:sz w:val="18"/>
                <w:szCs w:val="18"/>
                <w:color w:val="auto"/>
              </w:rPr>
              <w:t>Net sales</w:t>
            </w:r>
          </w:p>
        </w:tc>
        <w:tc>
          <w:tcPr>
            <w:tcW w:w="1940" w:type="dxa"/>
            <w:vAlign w:val="bottom"/>
            <w:gridSpan w:val="4"/>
          </w:tcPr>
          <w:p>
            <w:pPr>
              <w:jc w:val="right"/>
              <w:ind w:right="20"/>
              <w:spacing w:after="0"/>
              <w:rPr>
                <w:sz w:val="20"/>
                <w:szCs w:val="20"/>
                <w:color w:val="auto"/>
              </w:rPr>
            </w:pPr>
            <w:r>
              <w:rPr>
                <w:rFonts w:ascii="Arial" w:cs="Arial" w:eastAsia="Arial" w:hAnsi="Arial"/>
                <w:sz w:val="18"/>
                <w:szCs w:val="18"/>
                <w:color w:val="auto"/>
              </w:rPr>
              <w:t>$401,779</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000" w:type="dxa"/>
            <w:vAlign w:val="bottom"/>
            <w:tcBorders>
              <w:right w:val="single" w:sz="8" w:color="0033A0"/>
            </w:tcBorders>
          </w:tcPr>
          <w:p>
            <w:pPr>
              <w:spacing w:after="0"/>
              <w:rPr>
                <w:sz w:val="20"/>
                <w:szCs w:val="20"/>
                <w:color w:val="auto"/>
              </w:rPr>
            </w:pPr>
            <w:r>
              <w:rPr>
                <w:rFonts w:ascii="Arial" w:cs="Arial" w:eastAsia="Arial" w:hAnsi="Arial"/>
                <w:sz w:val="18"/>
                <w:szCs w:val="18"/>
                <w:color w:val="auto"/>
              </w:rPr>
              <w:t xml:space="preserve">Gross profit - GAAP basis </w:t>
            </w:r>
            <w:r>
              <w:rPr>
                <w:rFonts w:ascii="Arial" w:cs="Arial" w:eastAsia="Arial" w:hAnsi="Arial"/>
                <w:sz w:val="14"/>
                <w:szCs w:val="14"/>
                <w:color w:val="auto"/>
              </w:rPr>
              <w:t>(1)</w:t>
            </w:r>
          </w:p>
        </w:tc>
        <w:tc>
          <w:tcPr>
            <w:tcW w:w="1940" w:type="dxa"/>
            <w:vAlign w:val="bottom"/>
            <w:gridSpan w:val="4"/>
          </w:tcPr>
          <w:p>
            <w:pPr>
              <w:jc w:val="right"/>
              <w:ind w:right="20"/>
              <w:spacing w:after="0"/>
              <w:rPr>
                <w:sz w:val="20"/>
                <w:szCs w:val="20"/>
                <w:color w:val="auto"/>
              </w:rPr>
            </w:pPr>
            <w:r>
              <w:rPr>
                <w:rFonts w:ascii="Arial" w:cs="Arial" w:eastAsia="Arial" w:hAnsi="Arial"/>
                <w:sz w:val="18"/>
                <w:szCs w:val="18"/>
                <w:color w:val="auto"/>
              </w:rPr>
              <w:t>$180,294</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0" w:type="dxa"/>
            <w:vAlign w:val="bottom"/>
            <w:tcBorders>
              <w:right w:val="single" w:sz="8" w:color="0033A0"/>
            </w:tcBorders>
          </w:tcPr>
          <w:p>
            <w:pPr>
              <w:ind w:left="180"/>
              <w:spacing w:after="0" w:line="202" w:lineRule="exact"/>
              <w:rPr>
                <w:sz w:val="20"/>
                <w:szCs w:val="20"/>
                <w:color w:val="auto"/>
              </w:rPr>
            </w:pPr>
            <w:r>
              <w:rPr>
                <w:rFonts w:ascii="Arial" w:cs="Arial" w:eastAsia="Arial" w:hAnsi="Arial"/>
                <w:sz w:val="18"/>
                <w:szCs w:val="18"/>
                <w:color w:val="auto"/>
              </w:rPr>
              <w:t>Share-based compensation</w:t>
            </w:r>
          </w:p>
        </w:tc>
        <w:tc>
          <w:tcPr>
            <w:tcW w:w="194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1,049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Borders>
              <w:right w:val="single" w:sz="8" w:color="0033A0"/>
            </w:tcBorders>
          </w:tcPr>
          <w:p>
            <w:pPr>
              <w:ind w:left="180"/>
              <w:spacing w:after="0" w:line="202" w:lineRule="exact"/>
              <w:rPr>
                <w:sz w:val="20"/>
                <w:szCs w:val="20"/>
                <w:color w:val="auto"/>
              </w:rPr>
            </w:pPr>
            <w:r>
              <w:rPr>
                <w:rFonts w:ascii="Arial" w:cs="Arial" w:eastAsia="Arial" w:hAnsi="Arial"/>
                <w:sz w:val="18"/>
                <w:szCs w:val="18"/>
                <w:color w:val="auto"/>
              </w:rPr>
              <w:t>Restructuring charges related to inventory adjustments in cost of sales</w:t>
            </w:r>
          </w:p>
        </w:tc>
        <w:tc>
          <w:tcPr>
            <w:tcW w:w="2100" w:type="dxa"/>
            <w:vAlign w:val="bottom"/>
            <w:gridSpan w:val="5"/>
          </w:tcPr>
          <w:p>
            <w:pPr>
              <w:jc w:val="right"/>
              <w:ind w:right="120"/>
              <w:spacing w:after="0" w:line="202" w:lineRule="exact"/>
              <w:rPr>
                <w:sz w:val="20"/>
                <w:szCs w:val="20"/>
                <w:color w:val="auto"/>
              </w:rPr>
            </w:pPr>
            <w:r>
              <w:rPr>
                <w:rFonts w:ascii="Arial" w:cs="Arial" w:eastAsia="Arial" w:hAnsi="Arial"/>
                <w:sz w:val="18"/>
                <w:szCs w:val="18"/>
                <w:color w:val="auto"/>
              </w:rPr>
              <w:t>(465)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000" w:type="dxa"/>
            <w:vAlign w:val="bottom"/>
            <w:tcBorders>
              <w:bottom w:val="single" w:sz="8" w:color="0033A0"/>
              <w:right w:val="single" w:sz="8" w:color="0033A0"/>
            </w:tcBorders>
          </w:tcPr>
          <w:p>
            <w:pPr>
              <w:ind w:left="180"/>
              <w:spacing w:after="0"/>
              <w:rPr>
                <w:sz w:val="20"/>
                <w:szCs w:val="20"/>
                <w:color w:val="auto"/>
              </w:rPr>
            </w:pPr>
            <w:r>
              <w:rPr>
                <w:rFonts w:ascii="Arial" w:cs="Arial" w:eastAsia="Arial" w:hAnsi="Arial"/>
                <w:sz w:val="18"/>
                <w:szCs w:val="18"/>
                <w:color w:val="auto"/>
              </w:rPr>
              <w:t>Manufacturing transition and severance costs</w:t>
            </w:r>
          </w:p>
        </w:tc>
        <w:tc>
          <w:tcPr>
            <w:tcW w:w="1940" w:type="dxa"/>
            <w:vAlign w:val="bottom"/>
            <w:tcBorders>
              <w:bottom w:val="single" w:sz="8" w:color="0033A0"/>
            </w:tcBorders>
            <w:gridSpan w:val="4"/>
          </w:tcPr>
          <w:p>
            <w:pPr>
              <w:jc w:val="right"/>
              <w:ind w:right="20"/>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0033A0"/>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8000" w:type="dxa"/>
            <w:vAlign w:val="bottom"/>
          </w:tcPr>
          <w:p>
            <w:pPr>
              <w:spacing w:after="0" w:line="169" w:lineRule="exact"/>
              <w:rPr>
                <w:sz w:val="20"/>
                <w:szCs w:val="20"/>
                <w:color w:val="auto"/>
              </w:rPr>
            </w:pPr>
            <w:r>
              <w:rPr>
                <w:rFonts w:ascii="Arial" w:cs="Arial" w:eastAsia="Arial" w:hAnsi="Arial"/>
                <w:sz w:val="18"/>
                <w:szCs w:val="18"/>
                <w:color w:val="auto"/>
              </w:rPr>
              <w:t>Gross profit - non-GAAP basis</w:t>
            </w:r>
          </w:p>
        </w:tc>
        <w:tc>
          <w:tcPr>
            <w:tcW w:w="1940" w:type="dxa"/>
            <w:vAlign w:val="bottom"/>
            <w:gridSpan w:val="4"/>
          </w:tcPr>
          <w:p>
            <w:pPr>
              <w:jc w:val="right"/>
              <w:ind w:right="20"/>
              <w:spacing w:after="0" w:line="16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180,889</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0" w:type="dxa"/>
            <w:vAlign w:val="bottom"/>
            <w:tcBorders>
              <w:bottom w:val="single" w:sz="8" w:color="0033A0"/>
            </w:tcBorders>
          </w:tcPr>
          <w:p>
            <w:pPr>
              <w:spacing w:after="0" w:line="20" w:lineRule="exact"/>
              <w:rPr>
                <w:sz w:val="1"/>
                <w:szCs w:val="1"/>
                <w:color w:val="auto"/>
              </w:rPr>
            </w:pPr>
          </w:p>
        </w:tc>
        <w:tc>
          <w:tcPr>
            <w:tcW w:w="1160" w:type="dxa"/>
            <w:vAlign w:val="bottom"/>
            <w:tcBorders>
              <w:bottom w:val="single" w:sz="8" w:color="0033A0"/>
            </w:tcBorders>
          </w:tcPr>
          <w:p>
            <w:pPr>
              <w:spacing w:after="0" w:line="20" w:lineRule="exact"/>
              <w:rPr>
                <w:sz w:val="1"/>
                <w:szCs w:val="1"/>
                <w:color w:val="auto"/>
              </w:rPr>
            </w:pPr>
          </w:p>
        </w:tc>
        <w:tc>
          <w:tcPr>
            <w:tcW w:w="360" w:type="dxa"/>
            <w:vAlign w:val="bottom"/>
            <w:tcBorders>
              <w:top w:val="single" w:sz="8" w:color="auto"/>
              <w:bottom w:val="single" w:sz="8" w:color="0033A0"/>
            </w:tcBorders>
          </w:tcPr>
          <w:p>
            <w:pPr>
              <w:spacing w:after="0" w:line="20" w:lineRule="exact"/>
              <w:rPr>
                <w:sz w:val="1"/>
                <w:szCs w:val="1"/>
                <w:color w:val="auto"/>
              </w:rPr>
            </w:pPr>
          </w:p>
        </w:tc>
        <w:tc>
          <w:tcPr>
            <w:tcW w:w="400" w:type="dxa"/>
            <w:vAlign w:val="bottom"/>
            <w:tcBorders>
              <w:top w:val="single" w:sz="8" w:color="auto"/>
              <w:bottom w:val="single" w:sz="8" w:color="0033A0"/>
            </w:tcBorders>
          </w:tcPr>
          <w:p>
            <w:pPr>
              <w:spacing w:after="0" w:line="20" w:lineRule="exact"/>
              <w:rPr>
                <w:sz w:val="1"/>
                <w:szCs w:val="1"/>
                <w:color w:val="auto"/>
              </w:rPr>
            </w:pPr>
          </w:p>
        </w:tc>
        <w:tc>
          <w:tcPr>
            <w:tcW w:w="20" w:type="dxa"/>
            <w:vAlign w:val="bottom"/>
            <w:tcBorders>
              <w:bottom w:val="single" w:sz="8" w:color="0033A0"/>
            </w:tcBorders>
          </w:tcPr>
          <w:p>
            <w:pPr>
              <w:spacing w:after="0" w:line="20" w:lineRule="exact"/>
              <w:rPr>
                <w:sz w:val="1"/>
                <w:szCs w:val="1"/>
                <w:color w:val="auto"/>
              </w:rPr>
            </w:pPr>
          </w:p>
        </w:tc>
        <w:tc>
          <w:tcPr>
            <w:tcW w:w="160" w:type="dxa"/>
            <w:vAlign w:val="bottom"/>
            <w:tcBorders>
              <w:bottom w:val="single" w:sz="8" w:color="0033A0"/>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8000" w:type="dxa"/>
            <w:vAlign w:val="bottom"/>
          </w:tcPr>
          <w:p>
            <w:pPr>
              <w:spacing w:after="0"/>
              <w:rPr>
                <w:sz w:val="20"/>
                <w:szCs w:val="20"/>
                <w:color w:val="auto"/>
              </w:rPr>
            </w:pPr>
            <w:r>
              <w:rPr>
                <w:rFonts w:ascii="Arial" w:cs="Arial" w:eastAsia="Arial" w:hAnsi="Arial"/>
                <w:sz w:val="18"/>
                <w:szCs w:val="18"/>
                <w:color w:val="auto"/>
              </w:rPr>
              <w:t>(1) Excludes amortization of $28,417 for the twelve months ending December 28, 2024.</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000" w:type="dxa"/>
            <w:vAlign w:val="bottom"/>
          </w:tcPr>
          <w:p>
            <w:pPr>
              <w:spacing w:after="0"/>
              <w:rPr>
                <w:sz w:val="20"/>
                <w:szCs w:val="20"/>
                <w:color w:val="auto"/>
              </w:rPr>
            </w:pPr>
            <w:r>
              <w:rPr>
                <w:rFonts w:ascii="Arial" w:cs="Arial" w:eastAsia="Arial" w:hAnsi="Arial"/>
                <w:sz w:val="18"/>
                <w:szCs w:val="18"/>
                <w:color w:val="auto"/>
              </w:rPr>
              <w:t>GAAP gross profit (as a % of net sales)</w:t>
            </w:r>
          </w:p>
        </w:tc>
        <w:tc>
          <w:tcPr>
            <w:tcW w:w="2100" w:type="dxa"/>
            <w:vAlign w:val="bottom"/>
            <w:gridSpan w:val="5"/>
          </w:tcPr>
          <w:p>
            <w:pPr>
              <w:jc w:val="right"/>
              <w:ind w:right="20"/>
              <w:spacing w:after="0"/>
              <w:rPr>
                <w:sz w:val="20"/>
                <w:szCs w:val="20"/>
                <w:color w:val="auto"/>
              </w:rPr>
            </w:pPr>
            <w:r>
              <w:rPr>
                <w:rFonts w:ascii="Arial" w:cs="Arial" w:eastAsia="Arial" w:hAnsi="Arial"/>
                <w:sz w:val="18"/>
                <w:szCs w:val="18"/>
                <w:color w:val="auto"/>
              </w:rPr>
              <w:t>44.9%</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000" w:type="dxa"/>
            <w:vAlign w:val="bottom"/>
          </w:tcPr>
          <w:p>
            <w:pPr>
              <w:spacing w:after="0"/>
              <w:rPr>
                <w:sz w:val="20"/>
                <w:szCs w:val="20"/>
                <w:color w:val="auto"/>
              </w:rPr>
            </w:pPr>
            <w:r>
              <w:rPr>
                <w:rFonts w:ascii="Arial" w:cs="Arial" w:eastAsia="Arial" w:hAnsi="Arial"/>
                <w:sz w:val="18"/>
                <w:szCs w:val="18"/>
                <w:color w:val="auto"/>
              </w:rPr>
              <w:t>Non-GAAP gross profit (as a % of net sales)</w:t>
            </w:r>
          </w:p>
        </w:tc>
        <w:tc>
          <w:tcPr>
            <w:tcW w:w="2100" w:type="dxa"/>
            <w:vAlign w:val="bottom"/>
            <w:gridSpan w:val="5"/>
          </w:tcPr>
          <w:p>
            <w:pPr>
              <w:jc w:val="right"/>
              <w:ind w:right="20"/>
              <w:spacing w:after="0"/>
              <w:rPr>
                <w:sz w:val="20"/>
                <w:szCs w:val="20"/>
                <w:color w:val="auto"/>
              </w:rPr>
            </w:pPr>
            <w:r>
              <w:rPr>
                <w:rFonts w:ascii="Arial" w:cs="Arial" w:eastAsia="Arial" w:hAnsi="Arial"/>
                <w:sz w:val="18"/>
                <w:szCs w:val="18"/>
                <w:color w:val="auto"/>
              </w:rPr>
              <w:t>45.0%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8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000" w:type="dxa"/>
            <w:vAlign w:val="bottom"/>
            <w:tcBorders>
              <w:right w:val="single" w:sz="8" w:color="0033A0"/>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Pretax income reconciliation (</w:t>
            </w:r>
            <w:r>
              <w:rPr>
                <w:rFonts w:ascii="Arial" w:cs="Arial" w:eastAsia="Arial" w:hAnsi="Arial"/>
                <w:sz w:val="18"/>
                <w:szCs w:val="18"/>
                <w:b w:val="1"/>
                <w:bCs w:val="1"/>
                <w:i w:val="1"/>
                <w:iCs w:val="1"/>
                <w:color w:val="FFFFFF"/>
              </w:rPr>
              <w:t>in thousands</w:t>
            </w:r>
            <w:r>
              <w:rPr>
                <w:rFonts w:ascii="Arial" w:cs="Arial" w:eastAsia="Arial" w:hAnsi="Arial"/>
                <w:sz w:val="18"/>
                <w:szCs w:val="18"/>
                <w:b w:val="1"/>
                <w:bCs w:val="1"/>
                <w:color w:val="FFFFFF"/>
              </w:rPr>
              <w:t>)</w:t>
            </w:r>
          </w:p>
        </w:tc>
        <w:tc>
          <w:tcPr>
            <w:tcW w:w="2100" w:type="dxa"/>
            <w:vAlign w:val="bottom"/>
            <w:gridSpan w:val="5"/>
            <w:shd w:val="clear" w:color="auto" w:fill="2D53A6"/>
          </w:tcPr>
          <w:p>
            <w:pPr>
              <w:jc w:val="right"/>
              <w:ind w:right="240"/>
              <w:spacing w:after="0" w:line="183" w:lineRule="exact"/>
              <w:rPr>
                <w:sz w:val="20"/>
                <w:szCs w:val="20"/>
                <w:color w:val="auto"/>
              </w:rPr>
            </w:pPr>
            <w:r>
              <w:rPr>
                <w:rFonts w:ascii="Arial" w:cs="Arial" w:eastAsia="Arial" w:hAnsi="Arial"/>
                <w:sz w:val="18"/>
                <w:szCs w:val="18"/>
                <w:b w:val="1"/>
                <w:bCs w:val="1"/>
                <w:color w:val="FFFFFF"/>
                <w:w w:val="97"/>
              </w:rPr>
              <w:t>Twelve Months Ended</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8000" w:type="dxa"/>
            <w:vAlign w:val="bottom"/>
            <w:tcBorders>
              <w:right w:val="single" w:sz="8" w:color="0033A0"/>
            </w:tcBorders>
            <w:vMerge w:val="continue"/>
            <w:shd w:val="clear" w:color="auto" w:fill="2D53A6"/>
          </w:tcPr>
          <w:p>
            <w:pPr>
              <w:spacing w:after="0"/>
              <w:rPr>
                <w:sz w:val="12"/>
                <w:szCs w:val="12"/>
                <w:color w:val="auto"/>
              </w:rPr>
            </w:pPr>
          </w:p>
        </w:tc>
        <w:tc>
          <w:tcPr>
            <w:tcW w:w="2100" w:type="dxa"/>
            <w:vAlign w:val="bottom"/>
            <w:gridSpan w:val="5"/>
            <w:vMerge w:val="restart"/>
            <w:shd w:val="clear" w:color="auto" w:fill="2D53A6"/>
          </w:tcPr>
          <w:p>
            <w:pPr>
              <w:jc w:val="right"/>
              <w:ind w:right="360"/>
              <w:spacing w:after="0"/>
              <w:rPr>
                <w:sz w:val="20"/>
                <w:szCs w:val="20"/>
                <w:color w:val="auto"/>
              </w:rPr>
            </w:pPr>
            <w:r>
              <w:rPr>
                <w:rFonts w:ascii="Arial" w:cs="Arial" w:eastAsia="Arial" w:hAnsi="Arial"/>
                <w:sz w:val="18"/>
                <w:szCs w:val="18"/>
                <w:b w:val="1"/>
                <w:bCs w:val="1"/>
                <w:color w:val="FFFFFF"/>
              </w:rPr>
              <w:t>December 28, 2024</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8000" w:type="dxa"/>
            <w:vAlign w:val="bottom"/>
            <w:tcBorders>
              <w:right w:val="single" w:sz="8" w:color="0033A0"/>
            </w:tcBorders>
            <w:shd w:val="clear" w:color="auto" w:fill="2D53A6"/>
          </w:tcPr>
          <w:p>
            <w:pPr>
              <w:spacing w:after="0"/>
              <w:rPr>
                <w:sz w:val="7"/>
                <w:szCs w:val="7"/>
                <w:color w:val="auto"/>
              </w:rPr>
            </w:pPr>
          </w:p>
        </w:tc>
        <w:tc>
          <w:tcPr>
            <w:tcW w:w="2100" w:type="dxa"/>
            <w:vAlign w:val="bottom"/>
            <w:gridSpan w:val="5"/>
            <w:vMerge w:val="continue"/>
            <w:shd w:val="clear" w:color="auto" w:fill="2D53A6"/>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8000" w:type="dxa"/>
            <w:vAlign w:val="bottom"/>
            <w:tcBorders>
              <w:right w:val="single" w:sz="8" w:color="0033A0"/>
            </w:tcBorders>
          </w:tcPr>
          <w:p>
            <w:pPr>
              <w:spacing w:after="0" w:line="183" w:lineRule="exact"/>
              <w:rPr>
                <w:sz w:val="20"/>
                <w:szCs w:val="20"/>
                <w:color w:val="auto"/>
              </w:rPr>
            </w:pPr>
            <w:r>
              <w:rPr>
                <w:rFonts w:ascii="Arial" w:cs="Arial" w:eastAsia="Arial" w:hAnsi="Arial"/>
                <w:sz w:val="18"/>
                <w:szCs w:val="18"/>
                <w:color w:val="auto"/>
              </w:rPr>
              <w:t>Pretax loss - GAAP basis</w:t>
            </w:r>
          </w:p>
        </w:tc>
        <w:tc>
          <w:tcPr>
            <w:tcW w:w="1940" w:type="dxa"/>
            <w:vAlign w:val="bottom"/>
            <w:gridSpan w:val="4"/>
          </w:tcPr>
          <w:p>
            <w:pPr>
              <w:jc w:val="right"/>
              <w:spacing w:after="0" w:line="183" w:lineRule="exact"/>
              <w:rPr>
                <w:sz w:val="20"/>
                <w:szCs w:val="20"/>
                <w:color w:val="auto"/>
              </w:rPr>
            </w:pPr>
            <w:r>
              <w:rPr>
                <w:rFonts w:ascii="Arial" w:cs="Arial" w:eastAsia="Arial" w:hAnsi="Arial"/>
                <w:sz w:val="18"/>
                <w:szCs w:val="18"/>
                <w:color w:val="auto"/>
              </w:rPr>
              <w:t>$(64,946)</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00" w:type="dxa"/>
            <w:vAlign w:val="bottom"/>
            <w:tcBorders>
              <w:right w:val="single" w:sz="8" w:color="0033A0"/>
            </w:tcBorders>
          </w:tcPr>
          <w:p>
            <w:pPr>
              <w:ind w:left="180"/>
              <w:spacing w:after="0" w:line="202" w:lineRule="exact"/>
              <w:rPr>
                <w:sz w:val="20"/>
                <w:szCs w:val="20"/>
                <w:color w:val="auto"/>
              </w:rPr>
            </w:pPr>
            <w:r>
              <w:rPr>
                <w:rFonts w:ascii="Arial" w:cs="Arial" w:eastAsia="Arial" w:hAnsi="Arial"/>
                <w:sz w:val="18"/>
                <w:szCs w:val="18"/>
                <w:color w:val="auto"/>
              </w:rPr>
              <w:t>Share-based compensation</w:t>
            </w:r>
          </w:p>
        </w:tc>
        <w:tc>
          <w:tcPr>
            <w:tcW w:w="19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20,740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Borders>
              <w:right w:val="single" w:sz="8" w:color="0033A0"/>
            </w:tcBorders>
          </w:tcPr>
          <w:p>
            <w:pPr>
              <w:ind w:left="180"/>
              <w:spacing w:after="0" w:line="202" w:lineRule="exact"/>
              <w:rPr>
                <w:sz w:val="20"/>
                <w:szCs w:val="20"/>
                <w:color w:val="auto"/>
              </w:rPr>
            </w:pPr>
            <w:r>
              <w:rPr>
                <w:rFonts w:ascii="Arial" w:cs="Arial" w:eastAsia="Arial" w:hAnsi="Arial"/>
                <w:sz w:val="18"/>
                <w:szCs w:val="18"/>
                <w:color w:val="auto"/>
              </w:rPr>
              <w:t>Amortization of purchased intangible assets</w:t>
            </w:r>
          </w:p>
        </w:tc>
        <w:tc>
          <w:tcPr>
            <w:tcW w:w="19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39,087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Borders>
              <w:right w:val="single" w:sz="8" w:color="0033A0"/>
            </w:tcBorders>
          </w:tcPr>
          <w:p>
            <w:pPr>
              <w:ind w:left="180"/>
              <w:spacing w:after="0" w:line="202" w:lineRule="exact"/>
              <w:rPr>
                <w:sz w:val="20"/>
                <w:szCs w:val="20"/>
                <w:color w:val="auto"/>
              </w:rPr>
            </w:pPr>
            <w:r>
              <w:rPr>
                <w:rFonts w:ascii="Arial" w:cs="Arial" w:eastAsia="Arial" w:hAnsi="Arial"/>
                <w:sz w:val="18"/>
                <w:szCs w:val="18"/>
                <w:color w:val="auto"/>
              </w:rPr>
              <w:t>Restructuring charges related to inventory adjustments in cost of sales</w:t>
            </w:r>
          </w:p>
        </w:tc>
        <w:tc>
          <w:tcPr>
            <w:tcW w:w="19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(465)</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Borders>
              <w:right w:val="single" w:sz="8" w:color="0033A0"/>
            </w:tcBorders>
          </w:tcPr>
          <w:p>
            <w:pPr>
              <w:ind w:left="180"/>
              <w:spacing w:after="0" w:line="202" w:lineRule="exact"/>
              <w:rPr>
                <w:sz w:val="20"/>
                <w:szCs w:val="20"/>
                <w:color w:val="auto"/>
              </w:rPr>
            </w:pPr>
            <w:r>
              <w:rPr>
                <w:rFonts w:ascii="Arial" w:cs="Arial" w:eastAsia="Arial" w:hAnsi="Arial"/>
                <w:sz w:val="18"/>
                <w:szCs w:val="18"/>
                <w:color w:val="auto"/>
              </w:rPr>
              <w:t>Restructuring charges</w:t>
            </w:r>
          </w:p>
        </w:tc>
        <w:tc>
          <w:tcPr>
            <w:tcW w:w="19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Borders>
              <w:right w:val="single" w:sz="8" w:color="0033A0"/>
            </w:tcBorders>
          </w:tcPr>
          <w:p>
            <w:pPr>
              <w:ind w:left="180"/>
              <w:spacing w:after="0" w:line="202" w:lineRule="exact"/>
              <w:rPr>
                <w:sz w:val="20"/>
                <w:szCs w:val="20"/>
                <w:color w:val="auto"/>
              </w:rPr>
            </w:pPr>
            <w:r>
              <w:rPr>
                <w:rFonts w:ascii="Arial" w:cs="Arial" w:eastAsia="Arial" w:hAnsi="Arial"/>
                <w:sz w:val="18"/>
                <w:szCs w:val="18"/>
                <w:color w:val="auto"/>
              </w:rPr>
              <w:t>Manufacturing transition and severance costs</w:t>
            </w:r>
          </w:p>
        </w:tc>
        <w:tc>
          <w:tcPr>
            <w:tcW w:w="19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3,487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Borders>
              <w:right w:val="single" w:sz="8" w:color="0033A0"/>
            </w:tcBorders>
          </w:tcPr>
          <w:p>
            <w:pPr>
              <w:ind w:left="180"/>
              <w:spacing w:after="0" w:line="202" w:lineRule="exact"/>
              <w:rPr>
                <w:sz w:val="20"/>
                <w:szCs w:val="20"/>
                <w:color w:val="auto"/>
              </w:rPr>
            </w:pPr>
            <w:r>
              <w:rPr>
                <w:rFonts w:ascii="Arial" w:cs="Arial" w:eastAsia="Arial" w:hAnsi="Arial"/>
                <w:sz w:val="18"/>
                <w:szCs w:val="18"/>
                <w:color w:val="auto"/>
              </w:rPr>
              <w:t>Impairment charges included in SG&amp;A</w:t>
            </w:r>
          </w:p>
        </w:tc>
        <w:tc>
          <w:tcPr>
            <w:tcW w:w="19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903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Borders>
              <w:right w:val="single" w:sz="8" w:color="0033A0"/>
            </w:tcBorders>
          </w:tcPr>
          <w:p>
            <w:pPr>
              <w:ind w:left="180"/>
              <w:spacing w:after="0" w:line="202" w:lineRule="exact"/>
              <w:rPr>
                <w:sz w:val="20"/>
                <w:szCs w:val="20"/>
                <w:color w:val="auto"/>
              </w:rPr>
            </w:pPr>
            <w:r>
              <w:rPr>
                <w:rFonts w:ascii="Arial" w:cs="Arial" w:eastAsia="Arial" w:hAnsi="Arial"/>
                <w:sz w:val="18"/>
                <w:szCs w:val="18"/>
                <w:color w:val="auto"/>
              </w:rPr>
              <w:t>Other acquisition costs</w:t>
            </w:r>
          </w:p>
        </w:tc>
        <w:tc>
          <w:tcPr>
            <w:tcW w:w="19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582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Borders>
              <w:right w:val="single" w:sz="8" w:color="0033A0"/>
            </w:tcBorders>
          </w:tcPr>
          <w:p>
            <w:pPr>
              <w:ind w:left="180"/>
              <w:spacing w:after="0" w:line="202" w:lineRule="exact"/>
              <w:rPr>
                <w:sz w:val="20"/>
                <w:szCs w:val="20"/>
                <w:color w:val="auto"/>
              </w:rPr>
            </w:pPr>
            <w:r>
              <w:rPr>
                <w:rFonts w:ascii="Arial" w:cs="Arial" w:eastAsia="Arial" w:hAnsi="Arial"/>
                <w:sz w:val="18"/>
                <w:szCs w:val="18"/>
                <w:color w:val="auto"/>
              </w:rPr>
              <w:t>PP&amp;E step-up included in SG&amp;A</w:t>
            </w:r>
          </w:p>
        </w:tc>
        <w:tc>
          <w:tcPr>
            <w:tcW w:w="19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000" w:type="dxa"/>
            <w:vAlign w:val="bottom"/>
            <w:tcBorders>
              <w:bottom w:val="single" w:sz="8" w:color="0033A0"/>
              <w:right w:val="single" w:sz="8" w:color="0033A0"/>
            </w:tcBorders>
          </w:tcPr>
          <w:p>
            <w:pPr>
              <w:ind w:left="180"/>
              <w:spacing w:after="0"/>
              <w:rPr>
                <w:sz w:val="20"/>
                <w:szCs w:val="20"/>
                <w:color w:val="auto"/>
              </w:rPr>
            </w:pPr>
            <w:r>
              <w:rPr>
                <w:rFonts w:ascii="Arial" w:cs="Arial" w:eastAsia="Arial" w:hAnsi="Arial"/>
                <w:sz w:val="18"/>
                <w:szCs w:val="18"/>
                <w:color w:val="auto"/>
              </w:rPr>
              <w:t>Reduction of indemnification receivable</w:t>
            </w:r>
          </w:p>
        </w:tc>
        <w:tc>
          <w:tcPr>
            <w:tcW w:w="1920" w:type="dxa"/>
            <w:vAlign w:val="bottom"/>
            <w:tcBorders>
              <w:bottom w:val="single" w:sz="8" w:color="0033A0"/>
            </w:tcBorders>
            <w:gridSpan w:val="3"/>
          </w:tcPr>
          <w:p>
            <w:pPr>
              <w:jc w:val="right"/>
              <w:ind w:right="40"/>
              <w:spacing w:after="0"/>
              <w:rPr>
                <w:sz w:val="20"/>
                <w:szCs w:val="20"/>
                <w:color w:val="auto"/>
              </w:rPr>
            </w:pPr>
            <w:r>
              <w:rPr>
                <w:rFonts w:ascii="Arial" w:cs="Arial" w:eastAsia="Arial" w:hAnsi="Arial"/>
                <w:sz w:val="18"/>
                <w:szCs w:val="18"/>
                <w:color w:val="auto"/>
              </w:rPr>
              <w:t>506</w:t>
            </w:r>
          </w:p>
        </w:tc>
        <w:tc>
          <w:tcPr>
            <w:tcW w:w="20" w:type="dxa"/>
            <w:vAlign w:val="bottom"/>
            <w:tcBorders>
              <w:bottom w:val="single" w:sz="8" w:color="0033A0"/>
            </w:tcBorders>
          </w:tcPr>
          <w:p>
            <w:pPr>
              <w:spacing w:after="0"/>
              <w:rPr>
                <w:sz w:val="19"/>
                <w:szCs w:val="19"/>
                <w:color w:val="auto"/>
              </w:rPr>
            </w:pPr>
          </w:p>
        </w:tc>
        <w:tc>
          <w:tcPr>
            <w:tcW w:w="160" w:type="dxa"/>
            <w:vAlign w:val="bottom"/>
            <w:tcBorders>
              <w:bottom w:val="single" w:sz="8" w:color="0033A0"/>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8000" w:type="dxa"/>
            <w:vAlign w:val="bottom"/>
          </w:tcPr>
          <w:p>
            <w:pPr>
              <w:spacing w:after="0" w:line="169" w:lineRule="exact"/>
              <w:rPr>
                <w:sz w:val="20"/>
                <w:szCs w:val="20"/>
                <w:color w:val="auto"/>
              </w:rPr>
            </w:pPr>
            <w:r>
              <w:rPr>
                <w:rFonts w:ascii="Arial" w:cs="Arial" w:eastAsia="Arial" w:hAnsi="Arial"/>
                <w:sz w:val="18"/>
                <w:szCs w:val="18"/>
                <w:color w:val="auto"/>
              </w:rPr>
              <w:t>Pretax loss - non-GAAP basis</w:t>
            </w:r>
          </w:p>
        </w:tc>
        <w:tc>
          <w:tcPr>
            <w:tcW w:w="1940" w:type="dxa"/>
            <w:vAlign w:val="bottom"/>
            <w:gridSpan w:val="4"/>
          </w:tcPr>
          <w:p>
            <w:pPr>
              <w:jc w:val="right"/>
              <w:spacing w:after="0" w:line="16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0" w:type="dxa"/>
            <w:vAlign w:val="bottom"/>
            <w:tcBorders>
              <w:bottom w:val="single" w:sz="8" w:color="0033A0"/>
            </w:tcBorders>
          </w:tcPr>
          <w:p>
            <w:pPr>
              <w:spacing w:after="0" w:line="20" w:lineRule="exact"/>
              <w:rPr>
                <w:sz w:val="1"/>
                <w:szCs w:val="1"/>
                <w:color w:val="auto"/>
              </w:rPr>
            </w:pPr>
          </w:p>
        </w:tc>
        <w:tc>
          <w:tcPr>
            <w:tcW w:w="1160" w:type="dxa"/>
            <w:vAlign w:val="bottom"/>
            <w:tcBorders>
              <w:bottom w:val="single" w:sz="8" w:color="0033A0"/>
            </w:tcBorders>
          </w:tcPr>
          <w:p>
            <w:pPr>
              <w:spacing w:after="0" w:line="20" w:lineRule="exact"/>
              <w:rPr>
                <w:sz w:val="1"/>
                <w:szCs w:val="1"/>
                <w:color w:val="auto"/>
              </w:rPr>
            </w:pPr>
          </w:p>
        </w:tc>
        <w:tc>
          <w:tcPr>
            <w:tcW w:w="360" w:type="dxa"/>
            <w:vAlign w:val="bottom"/>
            <w:tcBorders>
              <w:bottom w:val="single" w:sz="8" w:color="0033A0"/>
            </w:tcBorders>
          </w:tcPr>
          <w:p>
            <w:pPr>
              <w:spacing w:after="0" w:line="20" w:lineRule="exact"/>
              <w:rPr>
                <w:sz w:val="1"/>
                <w:szCs w:val="1"/>
                <w:color w:val="auto"/>
              </w:rPr>
            </w:pPr>
          </w:p>
        </w:tc>
        <w:tc>
          <w:tcPr>
            <w:tcW w:w="400" w:type="dxa"/>
            <w:vAlign w:val="bottom"/>
            <w:tcBorders>
              <w:top w:val="single" w:sz="8" w:color="auto"/>
              <w:bottom w:val="single" w:sz="8" w:color="0033A0"/>
            </w:tcBorders>
          </w:tcPr>
          <w:p>
            <w:pPr>
              <w:spacing w:after="0" w:line="20" w:lineRule="exact"/>
              <w:rPr>
                <w:sz w:val="1"/>
                <w:szCs w:val="1"/>
                <w:color w:val="auto"/>
              </w:rPr>
            </w:pPr>
          </w:p>
        </w:tc>
        <w:tc>
          <w:tcPr>
            <w:tcW w:w="20" w:type="dxa"/>
            <w:vAlign w:val="bottom"/>
            <w:tcBorders>
              <w:top w:val="single" w:sz="8" w:color="auto"/>
              <w:bottom w:val="single" w:sz="8" w:color="0033A0"/>
            </w:tcBorders>
          </w:tcPr>
          <w:p>
            <w:pPr>
              <w:spacing w:after="0" w:line="20" w:lineRule="exact"/>
              <w:rPr>
                <w:sz w:val="1"/>
                <w:szCs w:val="1"/>
                <w:color w:val="auto"/>
              </w:rPr>
            </w:pPr>
          </w:p>
        </w:tc>
        <w:tc>
          <w:tcPr>
            <w:tcW w:w="160" w:type="dxa"/>
            <w:vAlign w:val="bottom"/>
            <w:tcBorders>
              <w:bottom w:val="single" w:sz="8" w:color="0033A0"/>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000" w:type="dxa"/>
            <w:vAlign w:val="bottom"/>
          </w:tcPr>
          <w:p>
            <w:pPr>
              <w:spacing w:after="0"/>
              <w:rPr>
                <w:sz w:val="20"/>
                <w:szCs w:val="20"/>
                <w:color w:val="auto"/>
              </w:rPr>
            </w:pPr>
            <w:r>
              <w:rPr>
                <w:rFonts w:ascii="Arial" w:cs="Arial" w:eastAsia="Arial" w:hAnsi="Arial"/>
                <w:sz w:val="18"/>
                <w:szCs w:val="18"/>
                <w:color w:val="auto"/>
              </w:rPr>
              <w:t>Pretax loss - GAAP basis (as a % of net sales)</w:t>
            </w:r>
          </w:p>
        </w:tc>
        <w:tc>
          <w:tcPr>
            <w:tcW w:w="2100" w:type="dxa"/>
            <w:vAlign w:val="bottom"/>
            <w:gridSpan w:val="5"/>
          </w:tcPr>
          <w:p>
            <w:pPr>
              <w:jc w:val="right"/>
              <w:spacing w:after="0"/>
              <w:rPr>
                <w:sz w:val="20"/>
                <w:szCs w:val="20"/>
                <w:color w:val="auto"/>
              </w:rPr>
            </w:pPr>
            <w:r>
              <w:rPr>
                <w:rFonts w:ascii="Arial" w:cs="Arial" w:eastAsia="Arial" w:hAnsi="Arial"/>
                <w:sz w:val="18"/>
                <w:szCs w:val="18"/>
                <w:color w:val="auto"/>
              </w:rPr>
              <w:t>(16.2)%</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000" w:type="dxa"/>
            <w:vAlign w:val="bottom"/>
          </w:tcPr>
          <w:p>
            <w:pPr>
              <w:spacing w:after="0"/>
              <w:rPr>
                <w:sz w:val="20"/>
                <w:szCs w:val="20"/>
                <w:color w:val="auto"/>
              </w:rPr>
            </w:pPr>
            <w:r>
              <w:rPr>
                <w:rFonts w:ascii="Arial" w:cs="Arial" w:eastAsia="Arial" w:hAnsi="Arial"/>
                <w:sz w:val="18"/>
                <w:szCs w:val="18"/>
                <w:color w:val="auto"/>
              </w:rPr>
              <w:t>Pretax loss - non-GAAP basis (as a % of net sales)</w:t>
            </w:r>
          </w:p>
        </w:tc>
        <w:tc>
          <w:tcPr>
            <w:tcW w:w="2100" w:type="dxa"/>
            <w:vAlign w:val="bottom"/>
            <w:gridSpan w:val="5"/>
          </w:tcPr>
          <w:p>
            <w:pPr>
              <w:jc w:val="right"/>
              <w:spacing w:after="0"/>
              <w:rPr>
                <w:sz w:val="20"/>
                <w:szCs w:val="20"/>
                <w:color w:val="auto"/>
              </w:rPr>
            </w:pPr>
            <w:r>
              <w:rPr>
                <w:rFonts w:ascii="Arial" w:cs="Arial" w:eastAsia="Arial" w:hAnsi="Arial"/>
                <w:sz w:val="18"/>
                <w:szCs w:val="18"/>
                <w:color w:val="auto"/>
              </w:rPr>
              <w:t>(0.0)%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000" w:type="dxa"/>
            <w:vAlign w:val="bottom"/>
          </w:tcPr>
          <w:p>
            <w:pPr>
              <w:ind w:left="5520"/>
              <w:spacing w:after="0"/>
              <w:rPr>
                <w:sz w:val="20"/>
                <w:szCs w:val="20"/>
                <w:color w:val="auto"/>
              </w:rPr>
            </w:pPr>
            <w:r>
              <w:rPr>
                <w:rFonts w:ascii="Arial" w:cs="Arial" w:eastAsia="Arial" w:hAnsi="Arial"/>
                <w:sz w:val="18"/>
                <w:szCs w:val="18"/>
                <w:color w:val="auto"/>
              </w:rPr>
              <w:t>68</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80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9052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90868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90868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15875</wp:posOffset>
            </wp:positionV>
            <wp:extent cx="6858000" cy="88722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decimal"/>
      <w:start w:val="5"/>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lvl>
    <w:lvl w:ilvl="1">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lvl w:ilvl="1">
      <w:lvlJc w:val="left"/>
      <w:lvlText w:val="-"/>
      <w:numFmt w:val="bullet"/>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lvl w:ilvl="1">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1"/>
    </w:lvl>
    <w:lvl w:ilvl="1">
      <w:lvlJc w:val="left"/>
      <w:lvlText w:val="■"/>
      <w:numFmt w:val="bullet"/>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upperLetter"/>
      <w:start w:val="1"/>
    </w:lvl>
  </w:abstractNum>
  <w:abstractNum w:abstractNumId="48">
    <w:nsid w:val="12E685FB"/>
    <w:multiLevelType w:val="hybridMultilevel"/>
    <w:lvl w:ilvl="0">
      <w:lvlJc w:val="left"/>
      <w:lvlText w:val="(%1)"/>
      <w:numFmt w:val="lowerRoman"/>
      <w:start w:val="1"/>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2025-04-02T15:20:49Z</dcterms:created>
  <dcterms:modified xsi:type="dcterms:W3CDTF">2025-04-02T15:20:49Z</dcterms:modified>
</cp:coreProperties>
</file>