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280" w:type="dxa"/>
            <w:vAlign w:val="bottom"/>
          </w:tcPr>
          <w:p>
            <w:pPr>
              <w:ind w:left="2360"/>
              <w:spacing w:after="0"/>
              <w:rPr>
                <w:sz w:val="20"/>
                <w:szCs w:val="20"/>
                <w:color w:val="auto"/>
              </w:rPr>
            </w:pPr>
            <w:r>
              <w:rPr>
                <w:rFonts w:ascii="Arial" w:cs="Arial" w:eastAsia="Arial" w:hAnsi="Arial"/>
                <w:sz w:val="18"/>
                <w:szCs w:val="18"/>
                <w:color w:val="auto"/>
                <w:w w:val="90"/>
              </w:rPr>
              <w:t>May 8, 2019</w:t>
            </w:r>
          </w:p>
        </w:tc>
      </w:tr>
    </w:tbl>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30"/>
        </w:trPr>
        <w:tc>
          <w:tcPr>
            <w:tcW w:w="6820" w:type="dxa"/>
            <w:vAlign w:val="bottom"/>
            <w:gridSpan w:val="2"/>
          </w:tcPr>
          <w:p>
            <w:pPr>
              <w:jc w:val="center"/>
              <w:ind w:left="2530"/>
              <w:spacing w:after="0"/>
              <w:rPr>
                <w:sz w:val="20"/>
                <w:szCs w:val="20"/>
                <w:color w:val="auto"/>
              </w:rPr>
            </w:pPr>
            <w:r>
              <w:rPr>
                <w:rFonts w:ascii="Arial" w:cs="Arial" w:eastAsia="Arial" w:hAnsi="Arial"/>
                <w:sz w:val="18"/>
                <w:szCs w:val="18"/>
                <w:color w:val="auto"/>
                <w:w w:val="90"/>
              </w:rPr>
              <w:t>(Exact name of registrant as specified in its charter)</w:t>
            </w:r>
          </w:p>
        </w:tc>
        <w:tc>
          <w:tcPr>
            <w:tcW w:w="1720" w:type="dxa"/>
            <w:vAlign w:val="bottom"/>
          </w:tcPr>
          <w:p>
            <w:pPr>
              <w:spacing w:after="0"/>
              <w:rPr>
                <w:sz w:val="20"/>
                <w:szCs w:val="20"/>
                <w:color w:val="auto"/>
              </w:rPr>
            </w:pPr>
          </w:p>
        </w:tc>
      </w:tr>
      <w:tr>
        <w:trPr>
          <w:trHeight w:val="418"/>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Delaware</w:t>
            </w:r>
          </w:p>
        </w:tc>
        <w:tc>
          <w:tcPr>
            <w:tcW w:w="2880" w:type="dxa"/>
            <w:vAlign w:val="bottom"/>
          </w:tcPr>
          <w:p>
            <w:pPr>
              <w:jc w:val="center"/>
              <w:ind w:right="1210"/>
              <w:spacing w:after="0"/>
              <w:rPr>
                <w:sz w:val="20"/>
                <w:szCs w:val="20"/>
                <w:color w:val="auto"/>
              </w:rPr>
            </w:pPr>
            <w:r>
              <w:rPr>
                <w:rFonts w:ascii="Arial" w:cs="Arial" w:eastAsia="Arial" w:hAnsi="Arial"/>
                <w:sz w:val="18"/>
                <w:szCs w:val="18"/>
                <w:color w:val="auto"/>
                <w:w w:val="90"/>
              </w:rPr>
              <w:t>001-04298</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95-1934119</w:t>
            </w:r>
          </w:p>
        </w:tc>
      </w:tr>
      <w:tr>
        <w:trPr>
          <w:trHeight w:val="216"/>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(State or other jurisdiction</w:t>
            </w:r>
          </w:p>
        </w:tc>
        <w:tc>
          <w:tcPr>
            <w:tcW w:w="2880" w:type="dxa"/>
            <w:vAlign w:val="bottom"/>
          </w:tcPr>
          <w:p>
            <w:pPr>
              <w:jc w:val="center"/>
              <w:ind w:right="1210"/>
              <w:spacing w:after="0"/>
              <w:rPr>
                <w:sz w:val="20"/>
                <w:szCs w:val="20"/>
                <w:color w:val="auto"/>
              </w:rPr>
            </w:pPr>
            <w:r>
              <w:rPr>
                <w:rFonts w:ascii="Arial" w:cs="Arial" w:eastAsia="Arial" w:hAnsi="Arial"/>
                <w:sz w:val="18"/>
                <w:szCs w:val="18"/>
                <w:color w:val="auto"/>
                <w:w w:val="93"/>
              </w:rPr>
              <w:t>(Commission</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3"/>
              </w:rPr>
              <w:t>of incorporation)</w:t>
            </w:r>
          </w:p>
        </w:tc>
        <w:tc>
          <w:tcPr>
            <w:tcW w:w="2880" w:type="dxa"/>
            <w:vAlign w:val="bottom"/>
          </w:tcPr>
          <w:p>
            <w:pPr>
              <w:jc w:val="center"/>
              <w:ind w:right="1210"/>
              <w:spacing w:after="0"/>
              <w:rPr>
                <w:sz w:val="20"/>
                <w:szCs w:val="20"/>
                <w:color w:val="auto"/>
              </w:rPr>
            </w:pPr>
            <w:r>
              <w:rPr>
                <w:rFonts w:ascii="Arial" w:cs="Arial" w:eastAsia="Arial" w:hAnsi="Arial"/>
                <w:sz w:val="18"/>
                <w:szCs w:val="18"/>
                <w:color w:val="auto"/>
                <w:w w:val="94"/>
              </w:rPr>
              <w:t>File Number)</w:t>
            </w:r>
          </w:p>
        </w:tc>
        <w:tc>
          <w:tcPr>
            <w:tcW w:w="1720" w:type="dxa"/>
            <w:vAlign w:val="bottom"/>
          </w:tcPr>
          <w:p>
            <w:pPr>
              <w:jc w:val="center"/>
              <w:ind w:left="2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1"/>
              </w:rPr>
              <w:t>12367 Crosthwaite Circle, Poway,</w:t>
            </w:r>
          </w:p>
        </w:tc>
        <w:tc>
          <w:tcPr>
            <w:tcW w:w="2880" w:type="dxa"/>
            <w:vAlign w:val="bottom"/>
          </w:tcPr>
          <w:p>
            <w:pPr>
              <w:spacing w:after="0"/>
              <w:rPr>
                <w:sz w:val="24"/>
                <w:szCs w:val="24"/>
                <w:color w:val="auto"/>
              </w:rPr>
            </w:pP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92064</w:t>
            </w:r>
          </w:p>
        </w:tc>
      </w:tr>
      <w:tr>
        <w:trPr>
          <w:trHeight w:val="216"/>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7"/>
              </w:rPr>
              <w:t>California</w:t>
            </w:r>
          </w:p>
        </w:tc>
        <w:tc>
          <w:tcPr>
            <w:tcW w:w="2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4"/>
              </w:rPr>
              <w:t>(Zip Code)</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w w:val="94"/>
              </w:rPr>
              <w:t>Registrant’s telephone number, including area code:</w:t>
            </w:r>
          </w:p>
        </w:tc>
        <w:tc>
          <w:tcPr>
            <w:tcW w:w="2880" w:type="dxa"/>
            <w:vAlign w:val="bottom"/>
          </w:tcPr>
          <w:p>
            <w:pPr>
              <w:spacing w:after="0"/>
              <w:rPr>
                <w:sz w:val="24"/>
                <w:szCs w:val="24"/>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858-848-8100</w:t>
            </w:r>
          </w:p>
        </w:tc>
      </w:tr>
      <w:tr>
        <w:trPr>
          <w:trHeight w:val="432"/>
        </w:trPr>
        <w:tc>
          <w:tcPr>
            <w:tcW w:w="3940" w:type="dxa"/>
            <w:vAlign w:val="bottom"/>
          </w:tcPr>
          <w:p>
            <w:pPr>
              <w:spacing w:after="0"/>
              <w:rPr>
                <w:sz w:val="24"/>
                <w:szCs w:val="24"/>
                <w:color w:val="auto"/>
              </w:rPr>
            </w:pPr>
          </w:p>
        </w:tc>
        <w:tc>
          <w:tcPr>
            <w:tcW w:w="2880" w:type="dxa"/>
            <w:vAlign w:val="bottom"/>
          </w:tcPr>
          <w:p>
            <w:pPr>
              <w:jc w:val="center"/>
              <w:ind w:right="1250"/>
              <w:spacing w:after="0"/>
              <w:rPr>
                <w:sz w:val="20"/>
                <w:szCs w:val="20"/>
                <w:color w:val="auto"/>
              </w:rPr>
            </w:pPr>
            <w:r>
              <w:rPr>
                <w:rFonts w:ascii="Arial" w:cs="Arial" w:eastAsia="Arial" w:hAnsi="Arial"/>
                <w:sz w:val="18"/>
                <w:szCs w:val="18"/>
                <w:color w:val="auto"/>
                <w:w w:val="94"/>
              </w:rPr>
              <w:t>Not Applicable</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665" w:right="359" w:bottom="1440" w:gutter="0" w:footer="0" w:header="0"/>
        </w:sectPr>
      </w:pPr>
    </w:p>
    <w:p>
      <w:pPr>
        <w:spacing w:after="0" w:line="225"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20" w:space="720"/>
            <w:col w:w="2080" w:space="720"/>
            <w:col w:w="3460"/>
          </w:cols>
          <w:pgMar w:left="240" w:top="665" w:right="35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66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Annual Meeting of Cohu, Inc. (“Cohu”) was held on May 8, 2019. At the Annual Meeting, Cohu’s stockholders cast their votes on five proposals, as set forth below. Cohu had 40,816,889 shares outstanding on the March 19, 2019 record date and 38,341,171 (94%) were represented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J. Bilodeau was elected as a Class 3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- 32,944,746; Votes Against - 1,489,350; Abstentions - 121,798; Broker Non-Votes - 3,785,277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 was elected as a Class 3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- 33,023,835; Votes Against - 1,410,164; Abstentions - 121,895; Broker Non-Votes - 3,785,277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remaining directors continuing in office until 2020 are William E. Bendush, Robert L. Ciardella and Ritu C. Favre, and until 2021 are Andrew 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Caggia, Luis A. Müller and Jorge L. Titinger.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The advisory vote on executive compensation of Named Executive Officers, as disclosed in the Proxy Statement, was approved. The results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- 33,713,089; Votes Against - 428,220; Abstentions - 414,585; Broker Non-Votes - 3,785,277</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 The vote on amendments to the Cohu 2005 Equity Incentive Plan to (i) increase the shares of stock available for issuance by 2,000,000 and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eliminate a sublimit on the aggregate number of shares that may be issued pursuant to restricted stock, restricted stock units, performance shares or performance unit awards was approved. The results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Votes For - 32,520,331; Votes Against - 2,011,638; Abstentions - 23,925; Broker Non-Votes - 3,785,277</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Proposal 4</w:t>
      </w:r>
      <w:r>
        <w:rPr>
          <w:rFonts w:ascii="Arial" w:cs="Arial" w:eastAsia="Arial" w:hAnsi="Arial"/>
          <w:sz w:val="18"/>
          <w:szCs w:val="18"/>
          <w:color w:val="auto"/>
        </w:rPr>
        <w:t>. The vote on an amendment to the 1997 Employee Stock Purchase Plan to increase the number of shares that may be issued under the plan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500,000 was approved. The results 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- 34,166,897; Votes Against - 266,338; Abstentions - 122,659; Broker Non-Votes - 3,785,277</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Proposal 5</w:t>
      </w:r>
      <w:r>
        <w:rPr>
          <w:rFonts w:ascii="Arial" w:cs="Arial" w:eastAsia="Arial" w:hAnsi="Arial"/>
          <w:sz w:val="18"/>
          <w:szCs w:val="18"/>
          <w:color w:val="auto"/>
        </w:rPr>
        <w:t>. The ratification of the appointment of Ernst &amp; Young LLP as the Cohu’s independent registered public accounting firm for fiscal year 2019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The results 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- 36,717,349; Votes Against - 1,325,159; Abstentions - 298,663; Broker Non-Votes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21"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4260" w:type="dxa"/>
            <w:vAlign w:val="bottom"/>
            <w:gridSpan w:val="2"/>
          </w:tcPr>
          <w:p>
            <w:pPr>
              <w:ind w:left="2380"/>
              <w:spacing w:after="0"/>
              <w:rPr>
                <w:sz w:val="20"/>
                <w:szCs w:val="20"/>
                <w:color w:val="auto"/>
              </w:rPr>
            </w:pPr>
            <w:r>
              <w:rPr>
                <w:rFonts w:ascii="Arial" w:cs="Arial" w:eastAsia="Arial" w:hAnsi="Arial"/>
                <w:sz w:val="18"/>
                <w:szCs w:val="18"/>
                <w:color w:val="auto"/>
              </w:rPr>
              <w:t>Cohu, Inc.</w:t>
            </w:r>
          </w:p>
        </w:tc>
      </w:tr>
      <w:tr>
        <w:trPr>
          <w:trHeight w:val="432"/>
        </w:trPr>
        <w:tc>
          <w:tcPr>
            <w:tcW w:w="3260" w:type="dxa"/>
            <w:vAlign w:val="bottom"/>
          </w:tcPr>
          <w:p>
            <w:pPr>
              <w:spacing w:after="0"/>
              <w:rPr>
                <w:sz w:val="20"/>
                <w:szCs w:val="20"/>
                <w:color w:val="auto"/>
              </w:rPr>
            </w:pPr>
            <w:r>
              <w:rPr>
                <w:rFonts w:ascii="Arial" w:cs="Arial" w:eastAsia="Arial" w:hAnsi="Arial"/>
                <w:sz w:val="18"/>
                <w:szCs w:val="18"/>
                <w:i w:val="1"/>
                <w:iCs w:val="1"/>
                <w:color w:val="auto"/>
              </w:rPr>
              <w:t>May 9, 2019</w:t>
            </w:r>
          </w:p>
        </w:tc>
        <w:tc>
          <w:tcPr>
            <w:tcW w:w="2740" w:type="dxa"/>
            <w:vAlign w:val="bottom"/>
          </w:tcPr>
          <w:p>
            <w:pPr>
              <w:ind w:left="2360"/>
              <w:spacing w:after="0"/>
              <w:rPr>
                <w:sz w:val="20"/>
                <w:szCs w:val="20"/>
                <w:color w:val="auto"/>
              </w:rPr>
            </w:pPr>
            <w:r>
              <w:rPr>
                <w:rFonts w:ascii="Arial" w:cs="Arial" w:eastAsia="Arial" w:hAnsi="Arial"/>
                <w:sz w:val="18"/>
                <w:szCs w:val="18"/>
                <w:i w:val="1"/>
                <w:iCs w:val="1"/>
                <w:color w:val="auto"/>
              </w:rPr>
              <w:t>By:</w:t>
            </w:r>
          </w:p>
        </w:tc>
        <w:tc>
          <w:tcPr>
            <w:tcW w:w="1520" w:type="dxa"/>
            <w:vAlign w:val="bottom"/>
          </w:tcPr>
          <w:p>
            <w:pPr>
              <w:ind w:left="140"/>
              <w:spacing w:after="0"/>
              <w:rPr>
                <w:sz w:val="20"/>
                <w:szCs w:val="20"/>
                <w:color w:val="auto"/>
              </w:rPr>
            </w:pPr>
            <w:r>
              <w:rPr>
                <w:rFonts w:ascii="Arial" w:cs="Arial" w:eastAsia="Arial" w:hAnsi="Arial"/>
                <w:sz w:val="18"/>
                <w:szCs w:val="18"/>
                <w:i w:val="1"/>
                <w:iCs w:val="1"/>
                <w:color w:val="auto"/>
                <w:w w:val="88"/>
              </w:rPr>
              <w:t>/s/ Jeffrey D. Jones</w:t>
            </w:r>
          </w:p>
        </w:tc>
      </w:tr>
    </w:tbl>
    <w:p>
      <w:pPr>
        <w:ind w:left="5960"/>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Title: VP Finance and Chief Financial Officer</w:t>
      </w:r>
    </w:p>
    <w:sectPr>
      <w:pgSz w:w="11900" w:h="16838" w:orient="portrait"/>
      <w:cols w:equalWidth="0" w:num="1">
        <w:col w:w="11220"/>
      </w:cols>
      <w:pgMar w:left="240" w:top="6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2019-12-02T20:57:31Z</dcterms:created>
  <dcterms:modified xsi:type="dcterms:W3CDTF">2019-12-02T20:57:31Z</dcterms:modified>
</cp:coreProperties>
</file>