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5"/>
          <w:szCs w:val="25"/>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CURRENT REPORT</w:t>
      </w: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9"/>
          </w:tcPr>
          <w:p>
            <w:pPr>
              <w:spacing w:after="0"/>
              <w:rPr>
                <w:sz w:val="20"/>
                <w:szCs w:val="20"/>
                <w:color w:val="auto"/>
              </w:rPr>
            </w:pPr>
            <w:r>
              <w:rPr>
                <w:rFonts w:ascii="Arial" w:cs="Arial" w:eastAsia="Arial" w:hAnsi="Arial"/>
                <w:sz w:val="18"/>
                <w:szCs w:val="18"/>
                <w:color w:val="auto"/>
              </w:rPr>
              <w:t>Date of Report (Date of Earliest Event Reported):</w:t>
            </w:r>
          </w:p>
        </w:tc>
        <w:tc>
          <w:tcPr>
            <w:tcW w:w="2580" w:type="dxa"/>
            <w:vAlign w:val="bottom"/>
          </w:tcPr>
          <w:p>
            <w:pPr>
              <w:jc w:val="center"/>
              <w:ind w:right="1230"/>
              <w:spacing w:after="0"/>
              <w:rPr>
                <w:sz w:val="20"/>
                <w:szCs w:val="20"/>
                <w:color w:val="auto"/>
              </w:rPr>
            </w:pPr>
            <w:r>
              <w:rPr>
                <w:rFonts w:ascii="Arial" w:cs="Arial" w:eastAsia="Arial" w:hAnsi="Arial"/>
                <w:sz w:val="18"/>
                <w:szCs w:val="18"/>
                <w:color w:val="auto"/>
                <w:w w:val="91"/>
              </w:rPr>
              <w:t>March 12, 2019</w:t>
            </w:r>
          </w:p>
        </w:tc>
      </w:tr>
      <w:tr>
        <w:trPr>
          <w:trHeight w:val="738"/>
        </w:trPr>
        <w:tc>
          <w:tcPr>
            <w:tcW w:w="9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gridSpan w:val="4"/>
          </w:tcPr>
          <w:p>
            <w:pPr>
              <w:jc w:val="center"/>
              <w:ind w:right="880"/>
              <w:spacing w:after="0"/>
              <w:rPr>
                <w:sz w:val="20"/>
                <w:szCs w:val="20"/>
                <w:color w:val="auto"/>
              </w:rPr>
            </w:pPr>
            <w:r>
              <w:rPr>
                <w:rFonts w:ascii="Arial" w:cs="Arial" w:eastAsia="Arial" w:hAnsi="Arial"/>
                <w:sz w:val="43"/>
                <w:szCs w:val="43"/>
                <w:color w:val="auto"/>
                <w:w w:val="92"/>
              </w:rPr>
              <w:t>Cohu, Inc.</w:t>
            </w:r>
          </w:p>
        </w:tc>
        <w:tc>
          <w:tcPr>
            <w:tcW w:w="2580" w:type="dxa"/>
            <w:vAlign w:val="bottom"/>
          </w:tcPr>
          <w:p>
            <w:pPr>
              <w:spacing w:after="0"/>
              <w:rPr>
                <w:sz w:val="24"/>
                <w:szCs w:val="24"/>
                <w:color w:val="auto"/>
              </w:rPr>
            </w:pPr>
          </w:p>
        </w:tc>
      </w:tr>
      <w:tr>
        <w:trPr>
          <w:trHeight w:val="140"/>
        </w:trPr>
        <w:tc>
          <w:tcPr>
            <w:tcW w:w="9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318"/>
        </w:trPr>
        <w:tc>
          <w:tcPr>
            <w:tcW w:w="9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gridSpan w:val="6"/>
          </w:tcPr>
          <w:p>
            <w:pPr>
              <w:jc w:val="center"/>
              <w:ind w:right="160"/>
              <w:spacing w:after="0"/>
              <w:rPr>
                <w:sz w:val="20"/>
                <w:szCs w:val="20"/>
                <w:color w:val="auto"/>
              </w:rPr>
            </w:pPr>
            <w:r>
              <w:rPr>
                <w:rFonts w:ascii="Arial" w:cs="Arial" w:eastAsia="Arial" w:hAnsi="Arial"/>
                <w:sz w:val="18"/>
                <w:szCs w:val="18"/>
                <w:color w:val="auto"/>
                <w:w w:val="90"/>
              </w:rPr>
              <w:t>(Exact name of registrant as specified in its charter)</w:t>
            </w:r>
          </w:p>
        </w:tc>
        <w:tc>
          <w:tcPr>
            <w:tcW w:w="258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2620" w:type="dxa"/>
            <w:vAlign w:val="bottom"/>
          </w:tcPr>
          <w:p>
            <w:pPr>
              <w:jc w:val="center"/>
              <w:ind w:left="50"/>
              <w:spacing w:after="0"/>
              <w:rPr>
                <w:sz w:val="20"/>
                <w:szCs w:val="20"/>
                <w:color w:val="auto"/>
              </w:rPr>
            </w:pPr>
            <w:r>
              <w:rPr>
                <w:rFonts w:ascii="Arial" w:cs="Arial" w:eastAsia="Arial" w:hAnsi="Arial"/>
                <w:sz w:val="18"/>
                <w:szCs w:val="18"/>
                <w:color w:val="auto"/>
                <w:w w:val="89"/>
              </w:rPr>
              <w:t>Delaware</w:t>
            </w:r>
          </w:p>
        </w:tc>
        <w:tc>
          <w:tcPr>
            <w:tcW w:w="3560" w:type="dxa"/>
            <w:vAlign w:val="bottom"/>
            <w:gridSpan w:val="4"/>
          </w:tcPr>
          <w:p>
            <w:pPr>
              <w:jc w:val="center"/>
              <w:ind w:left="730"/>
              <w:spacing w:after="0"/>
              <w:rPr>
                <w:sz w:val="20"/>
                <w:szCs w:val="20"/>
                <w:color w:val="auto"/>
              </w:rPr>
            </w:pPr>
            <w:r>
              <w:rPr>
                <w:rFonts w:ascii="Arial" w:cs="Arial" w:eastAsia="Arial" w:hAnsi="Arial"/>
                <w:sz w:val="18"/>
                <w:szCs w:val="18"/>
                <w:color w:val="auto"/>
                <w:w w:val="90"/>
              </w:rPr>
              <w:t>001-04298</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Pr>
          <w:p>
            <w:pPr>
              <w:jc w:val="right"/>
              <w:ind w:right="850"/>
              <w:spacing w:after="0"/>
              <w:rPr>
                <w:sz w:val="20"/>
                <w:szCs w:val="20"/>
                <w:color w:val="auto"/>
              </w:rPr>
            </w:pPr>
            <w:r>
              <w:rPr>
                <w:rFonts w:ascii="Arial" w:cs="Arial" w:eastAsia="Arial" w:hAnsi="Arial"/>
                <w:sz w:val="18"/>
                <w:szCs w:val="18"/>
                <w:color w:val="auto"/>
              </w:rPr>
              <w:t>95-1934119</w:t>
            </w:r>
          </w:p>
        </w:tc>
      </w:tr>
      <w:tr>
        <w:trPr>
          <w:trHeight w:val="195"/>
        </w:trPr>
        <w:tc>
          <w:tcPr>
            <w:tcW w:w="920" w:type="dxa"/>
            <w:vAlign w:val="bottom"/>
          </w:tcPr>
          <w:p>
            <w:pPr>
              <w:spacing w:after="0"/>
              <w:rPr>
                <w:sz w:val="16"/>
                <w:szCs w:val="16"/>
                <w:color w:val="auto"/>
              </w:rPr>
            </w:pPr>
          </w:p>
        </w:tc>
        <w:tc>
          <w:tcPr>
            <w:tcW w:w="2620" w:type="dxa"/>
            <w:vAlign w:val="bottom"/>
            <w:tcBorders>
              <w:top w:val="single" w:sz="8" w:color="auto"/>
            </w:tcBorders>
          </w:tcPr>
          <w:p>
            <w:pPr>
              <w:jc w:val="center"/>
              <w:ind w:left="50"/>
              <w:spacing w:after="0" w:line="195" w:lineRule="exact"/>
              <w:rPr>
                <w:sz w:val="20"/>
                <w:szCs w:val="20"/>
                <w:color w:val="auto"/>
              </w:rPr>
            </w:pPr>
            <w:r>
              <w:rPr>
                <w:rFonts w:ascii="Arial" w:cs="Arial" w:eastAsia="Arial" w:hAnsi="Arial"/>
                <w:sz w:val="18"/>
                <w:szCs w:val="18"/>
                <w:color w:val="auto"/>
                <w:w w:val="91"/>
              </w:rPr>
              <w:t>(State or other jurisdiction</w:t>
            </w:r>
          </w:p>
        </w:tc>
        <w:tc>
          <w:tcPr>
            <w:tcW w:w="1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w:t>
            </w:r>
          </w:p>
        </w:tc>
        <w:tc>
          <w:tcPr>
            <w:tcW w:w="680" w:type="dxa"/>
            <w:vAlign w:val="bottom"/>
            <w:gridSpan w:val="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920" w:type="dxa"/>
            <w:vAlign w:val="bottom"/>
          </w:tcPr>
          <w:p>
            <w:pPr>
              <w:spacing w:after="0"/>
              <w:rPr>
                <w:sz w:val="20"/>
                <w:szCs w:val="20"/>
                <w:color w:val="auto"/>
              </w:rPr>
            </w:pPr>
          </w:p>
        </w:tc>
        <w:tc>
          <w:tcPr>
            <w:tcW w:w="2620" w:type="dxa"/>
            <w:vAlign w:val="bottom"/>
          </w:tcPr>
          <w:p>
            <w:pPr>
              <w:jc w:val="center"/>
              <w:ind w:left="30"/>
              <w:spacing w:after="0"/>
              <w:rPr>
                <w:sz w:val="20"/>
                <w:szCs w:val="20"/>
                <w:color w:val="auto"/>
              </w:rPr>
            </w:pPr>
            <w:r>
              <w:rPr>
                <w:rFonts w:ascii="Arial" w:cs="Arial" w:eastAsia="Arial" w:hAnsi="Arial"/>
                <w:sz w:val="18"/>
                <w:szCs w:val="18"/>
                <w:color w:val="auto"/>
                <w:w w:val="93"/>
              </w:rPr>
              <w:t>of incorporation)</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4"/>
          </w:tcPr>
          <w:p>
            <w:pPr>
              <w:jc w:val="center"/>
              <w:ind w:right="840"/>
              <w:spacing w:after="0"/>
              <w:rPr>
                <w:sz w:val="20"/>
                <w:szCs w:val="20"/>
                <w:color w:val="auto"/>
              </w:rPr>
            </w:pPr>
            <w:r>
              <w:rPr>
                <w:rFonts w:ascii="Arial" w:cs="Arial" w:eastAsia="Arial" w:hAnsi="Arial"/>
                <w:sz w:val="18"/>
                <w:szCs w:val="18"/>
                <w:color w:val="auto"/>
                <w:w w:val="94"/>
              </w:rPr>
              <w:t>File Number)</w:t>
            </w:r>
          </w:p>
        </w:tc>
        <w:tc>
          <w:tcPr>
            <w:tcW w:w="2580" w:type="dxa"/>
            <w:vAlign w:val="bottom"/>
          </w:tcPr>
          <w:p>
            <w:pPr>
              <w:jc w:val="center"/>
              <w:ind w:right="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920" w:type="dxa"/>
            <w:vAlign w:val="bottom"/>
          </w:tcPr>
          <w:p>
            <w:pPr>
              <w:spacing w:after="0"/>
              <w:rPr>
                <w:sz w:val="24"/>
                <w:szCs w:val="24"/>
                <w:color w:val="auto"/>
              </w:rPr>
            </w:pPr>
          </w:p>
        </w:tc>
        <w:tc>
          <w:tcPr>
            <w:tcW w:w="2620" w:type="dxa"/>
            <w:vAlign w:val="bottom"/>
          </w:tcPr>
          <w:p>
            <w:pPr>
              <w:jc w:val="center"/>
              <w:ind w:left="30"/>
              <w:spacing w:after="0"/>
              <w:rPr>
                <w:sz w:val="20"/>
                <w:szCs w:val="20"/>
                <w:color w:val="auto"/>
              </w:rPr>
            </w:pPr>
            <w:r>
              <w:rPr>
                <w:rFonts w:ascii="Arial" w:cs="Arial" w:eastAsia="Arial" w:hAnsi="Arial"/>
                <w:sz w:val="18"/>
                <w:szCs w:val="18"/>
                <w:color w:val="auto"/>
                <w:w w:val="91"/>
              </w:rPr>
              <w:t>12367 Crosthwaite Circle, Poway,</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Pr>
          <w:p>
            <w:pPr>
              <w:jc w:val="right"/>
              <w:ind w:right="1050"/>
              <w:spacing w:after="0"/>
              <w:rPr>
                <w:sz w:val="20"/>
                <w:szCs w:val="20"/>
                <w:color w:val="auto"/>
              </w:rPr>
            </w:pPr>
            <w:r>
              <w:rPr>
                <w:rFonts w:ascii="Arial" w:cs="Arial" w:eastAsia="Arial" w:hAnsi="Arial"/>
                <w:sz w:val="18"/>
                <w:szCs w:val="18"/>
                <w:color w:val="auto"/>
              </w:rPr>
              <w:t>92064</w:t>
            </w:r>
          </w:p>
        </w:tc>
      </w:tr>
      <w:tr>
        <w:trPr>
          <w:trHeight w:val="230"/>
        </w:trPr>
        <w:tc>
          <w:tcPr>
            <w:tcW w:w="920" w:type="dxa"/>
            <w:vAlign w:val="bottom"/>
          </w:tcPr>
          <w:p>
            <w:pPr>
              <w:spacing w:after="0"/>
              <w:rPr>
                <w:sz w:val="20"/>
                <w:szCs w:val="20"/>
                <w:color w:val="auto"/>
              </w:rPr>
            </w:pPr>
          </w:p>
        </w:tc>
        <w:tc>
          <w:tcPr>
            <w:tcW w:w="26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4"/>
              </w:rPr>
              <w:t>California</w:t>
            </w:r>
          </w:p>
        </w:tc>
        <w:tc>
          <w:tcPr>
            <w:tcW w:w="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r>
      <w:tr>
        <w:trPr>
          <w:trHeight w:val="195"/>
        </w:trPr>
        <w:tc>
          <w:tcPr>
            <w:tcW w:w="920" w:type="dxa"/>
            <w:vAlign w:val="bottom"/>
          </w:tcPr>
          <w:p>
            <w:pPr>
              <w:spacing w:after="0"/>
              <w:rPr>
                <w:sz w:val="16"/>
                <w:szCs w:val="16"/>
                <w:color w:val="auto"/>
              </w:rPr>
            </w:pPr>
          </w:p>
        </w:tc>
        <w:tc>
          <w:tcPr>
            <w:tcW w:w="2620" w:type="dxa"/>
            <w:vAlign w:val="bottom"/>
          </w:tcPr>
          <w:p>
            <w:pPr>
              <w:jc w:val="center"/>
              <w:ind w:left="30"/>
              <w:spacing w:after="0" w:line="195" w:lineRule="exact"/>
              <w:rPr>
                <w:sz w:val="20"/>
                <w:szCs w:val="20"/>
                <w:color w:val="auto"/>
              </w:rPr>
            </w:pPr>
            <w:r>
              <w:rPr>
                <w:rFonts w:ascii="Arial" w:cs="Arial" w:eastAsia="Arial" w:hAnsi="Arial"/>
                <w:sz w:val="18"/>
                <w:szCs w:val="18"/>
                <w:color w:val="auto"/>
                <w:w w:val="92"/>
              </w:rPr>
              <w:t>(Address of principal executive</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(Zip Code)</w:t>
            </w:r>
          </w:p>
        </w:tc>
      </w:tr>
      <w:tr>
        <w:trPr>
          <w:trHeight w:val="230"/>
        </w:trPr>
        <w:tc>
          <w:tcPr>
            <w:tcW w:w="920" w:type="dxa"/>
            <w:vAlign w:val="bottom"/>
          </w:tcPr>
          <w:p>
            <w:pPr>
              <w:spacing w:after="0"/>
              <w:rPr>
                <w:sz w:val="20"/>
                <w:szCs w:val="20"/>
                <w:color w:val="auto"/>
              </w:rPr>
            </w:pPr>
          </w:p>
        </w:tc>
        <w:tc>
          <w:tcPr>
            <w:tcW w:w="2620" w:type="dxa"/>
            <w:vAlign w:val="bottom"/>
          </w:tcPr>
          <w:p>
            <w:pPr>
              <w:jc w:val="center"/>
              <w:ind w:left="50"/>
              <w:spacing w:after="0"/>
              <w:rPr>
                <w:sz w:val="20"/>
                <w:szCs w:val="20"/>
                <w:color w:val="auto"/>
              </w:rPr>
            </w:pPr>
            <w:r>
              <w:rPr>
                <w:rFonts w:ascii="Arial" w:cs="Arial" w:eastAsia="Arial" w:hAnsi="Arial"/>
                <w:sz w:val="18"/>
                <w:szCs w:val="18"/>
                <w:color w:val="auto"/>
                <w:w w:val="96"/>
              </w:rPr>
              <w:t>offices)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59"/>
        </w:trPr>
        <w:tc>
          <w:tcPr>
            <w:tcW w:w="920" w:type="dxa"/>
            <w:vAlign w:val="bottom"/>
          </w:tcPr>
          <w:p>
            <w:pPr>
              <w:spacing w:after="0"/>
              <w:rPr>
                <w:sz w:val="24"/>
                <w:szCs w:val="24"/>
                <w:color w:val="auto"/>
              </w:rPr>
            </w:pPr>
          </w:p>
        </w:tc>
        <w:tc>
          <w:tcPr>
            <w:tcW w:w="7020" w:type="dxa"/>
            <w:vAlign w:val="bottom"/>
            <w:gridSpan w:val="8"/>
          </w:tcPr>
          <w:p>
            <w:pPr>
              <w:ind w:left="80"/>
              <w:spacing w:after="0"/>
              <w:rPr>
                <w:sz w:val="20"/>
                <w:szCs w:val="20"/>
                <w:color w:val="auto"/>
              </w:rPr>
            </w:pPr>
            <w:r>
              <w:rPr>
                <w:rFonts w:ascii="Arial" w:cs="Arial" w:eastAsia="Arial" w:hAnsi="Arial"/>
                <w:sz w:val="18"/>
                <w:szCs w:val="18"/>
                <w:color w:val="auto"/>
              </w:rPr>
              <w:t>Registrant’s telephone number, including area code:</w:t>
            </w:r>
          </w:p>
        </w:tc>
        <w:tc>
          <w:tcPr>
            <w:tcW w:w="2580" w:type="dxa"/>
            <w:vAlign w:val="bottom"/>
          </w:tcPr>
          <w:p>
            <w:pPr>
              <w:jc w:val="right"/>
              <w:ind w:right="1350"/>
              <w:spacing w:after="0"/>
              <w:rPr>
                <w:sz w:val="20"/>
                <w:szCs w:val="20"/>
                <w:color w:val="auto"/>
              </w:rPr>
            </w:pPr>
            <w:r>
              <w:rPr>
                <w:rFonts w:ascii="Arial" w:cs="Arial" w:eastAsia="Arial" w:hAnsi="Arial"/>
                <w:sz w:val="18"/>
                <w:szCs w:val="18"/>
                <w:color w:val="auto"/>
                <w:w w:val="99"/>
              </w:rPr>
              <w:t>858-848-8100</w:t>
            </w:r>
          </w:p>
        </w:tc>
      </w:tr>
      <w:tr>
        <w:trPr>
          <w:trHeight w:val="418"/>
        </w:trPr>
        <w:tc>
          <w:tcPr>
            <w:tcW w:w="9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gridSpan w:val="4"/>
          </w:tcPr>
          <w:p>
            <w:pPr>
              <w:jc w:val="center"/>
              <w:ind w:right="880"/>
              <w:spacing w:after="0"/>
              <w:rPr>
                <w:sz w:val="20"/>
                <w:szCs w:val="20"/>
                <w:color w:val="auto"/>
              </w:rPr>
            </w:pPr>
            <w:r>
              <w:rPr>
                <w:rFonts w:ascii="Arial" w:cs="Arial" w:eastAsia="Arial" w:hAnsi="Arial"/>
                <w:sz w:val="18"/>
                <w:szCs w:val="18"/>
                <w:color w:val="auto"/>
                <w:w w:val="94"/>
              </w:rPr>
              <w:t>Not Applicable</w:t>
            </w:r>
          </w:p>
        </w:tc>
        <w:tc>
          <w:tcPr>
            <w:tcW w:w="258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40" w:type="dxa"/>
            <w:vAlign w:val="bottom"/>
            <w:gridSpan w:val="6"/>
          </w:tcPr>
          <w:p>
            <w:pPr>
              <w:jc w:val="center"/>
              <w:ind w:left="10"/>
              <w:spacing w:after="0"/>
              <w:rPr>
                <w:sz w:val="20"/>
                <w:szCs w:val="20"/>
                <w:color w:val="auto"/>
              </w:rPr>
            </w:pPr>
            <w:r>
              <w:rPr>
                <w:rFonts w:ascii="Arial" w:cs="Arial" w:eastAsia="Arial" w:hAnsi="Arial"/>
                <w:sz w:val="18"/>
                <w:szCs w:val="18"/>
                <w:color w:val="auto"/>
                <w:w w:val="89"/>
              </w:rPr>
              <w:t>______________________________________________</w:t>
            </w: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400" w:type="dxa"/>
            <w:vAlign w:val="bottom"/>
            <w:gridSpan w:val="7"/>
          </w:tcPr>
          <w:p>
            <w:pPr>
              <w:jc w:val="center"/>
              <w:ind w:right="6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580" w:type="dxa"/>
            <w:vAlign w:val="bottom"/>
          </w:tcPr>
          <w:p>
            <w:pPr>
              <w:spacing w:after="0"/>
              <w:rPr>
                <w:sz w:val="20"/>
                <w:szCs w:val="20"/>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3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March 12, 2019, Cohu, Inc. (the “Company”) issued a press release regarding its financial results for the fourth quarter and full year ended December 29, 2018. The Company’s press release is attached as Exhibit 99.1 to this Current Report on Form 8-K and incorporated by reference herein.</w:t>
      </w:r>
    </w:p>
    <w:p>
      <w:pPr>
        <w:spacing w:after="0" w:line="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13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to financial results determined in accordance with generally accepted accounting principles (“GAAP”), this press release refers to financial information determined by methods other than in accordance with GAAP, including non-GAAP Gross Margin, Income and Income (adjusted earnings) per share, Adjusted EBITDA, and Operating Expense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acquired intangible assets including favorable/unfavorable lease adjustments, restructuring costs, manufacturing transition and severance costs, acquisition-related costs and associated professional fees, fair value adjustment to contingent consideration, reduction of indemnification receivable, depreciation of purchase accounting adjustments to property, plant and equipment and purchase accounting inventory step-up included in cost of sales. Reconciliations of GAAP to non-GAAP amounts for the periods presented herein are provided in schedules accompanying this release and should be considered together with the Condensed Consolidated Statements of Operations.</w:t>
      </w:r>
    </w:p>
    <w:p>
      <w:pPr>
        <w:spacing w:after="0" w:line="7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3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contained in this release and accompanying materials may be considered forward-looking statements within the meaning of the U.S. Private Securities Litigation Reform Act of 1995, including statements regarding integration and cost synergy savings, timing and targets; design-wins; contactor sales growth; semiconductor market conditions in 2019 and mid-term growth; Cohu’s first quarter 2019 sales forecast, guidance, non-GAAP operating expenses, non-GAAP gross margin and effective tax rate;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and trade wars; ERP system implementation issues; the seasonal, volatile and unpredictable nature of capital expenditures by semiconductor manufacturers and recent weakening demand in this market; recent weakness in Greater China market; rapid technological change; and significant risks associated with the Xcerra acquisition including but not limited to (i) the ability of Cohu and Xcerra to integrate their businesses successfully and to achieve anticipated synergies and cost savings, (ii) the possibility that other anticipated benefits of the acquisition will not be realized, (iii) litigation relating to the acquisition that still could be instituted against Cohu and/or Xcerra, (iv) the possibility that restructuring charges will significantly exceed estimates, (v) the ability of Cohu or Xcerra to retain, attract and hire key personnel, (vi) potential adverse reactions or changes to relationships with customers, employees, suppliers or other parties resulting from the completion of the acquisition, (vii) the discovery of liabilities or deficiencies associated with Xcerra that were not identified in advance, (viii) potential failures to maintain adequate internal controls over financial reporting given the significant increase in size, number of employees, global operations and complexity of Cohu’s business, (ix) mandatory ongoing impairment evaluation of goodwill and other intangibles whereby Cohu could be required to write off some or all of this goodwill and other intangibles, (x) the adverse impact to Cohu’s operating results from interest expense on the financing debt, rising interest rates, and any restrictions on operations related to such debt, and (xi) continued availability of capital and financing and rating agency actions, and limited market access given our high debt levels. These and other risks and uncertainties are discussed more fully in Cohu’s filings with the Securities and Exchange Commission, including the most recently filed Form 10-K and Form 10-Q, the Registration Statement on Form S-4/proxy statement that was filed in connection with the Xcerra acquisition,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For press releases and other information of interest to investors, please visit Cohu’s website at www.cohu.com.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131" w:lineRule="exact"/>
        <w:rPr>
          <w:sz w:val="20"/>
          <w:szCs w:val="20"/>
          <w:color w:val="auto"/>
        </w:rPr>
      </w:pPr>
    </w:p>
    <w:p>
      <w:pPr>
        <w:ind w:right="8899" w:firstLine="8"/>
        <w:spacing w:after="0" w:line="414" w:lineRule="auto"/>
        <w:tabs>
          <w:tab w:leader="none" w:pos="255" w:val="left"/>
        </w:tabs>
        <w:numPr>
          <w:ilvl w:val="0"/>
          <w:numId w:val="2"/>
        </w:numPr>
        <w:rPr>
          <w:rFonts w:ascii="Arial" w:cs="Arial" w:eastAsia="Arial" w:hAnsi="Arial"/>
          <w:sz w:val="17"/>
          <w:szCs w:val="17"/>
          <w:u w:val="single" w:color="auto"/>
          <w:color w:val="0000EE"/>
        </w:rPr>
      </w:pPr>
      <w:r>
        <w:rPr>
          <w:rFonts w:ascii="Arial" w:cs="Arial" w:eastAsia="Arial" w:hAnsi="Arial"/>
          <w:sz w:val="17"/>
          <w:szCs w:val="17"/>
          <w:color w:val="auto"/>
        </w:rPr>
        <w:t xml:space="preserve">Exhibits </w:t>
      </w:r>
      <w:hyperlink w:anchor="page6">
        <w:r>
          <w:rPr>
            <w:rFonts w:ascii="Arial" w:cs="Arial" w:eastAsia="Arial" w:hAnsi="Arial"/>
            <w:sz w:val="17"/>
            <w:szCs w:val="17"/>
            <w:u w:val="single" w:color="auto"/>
            <w:color w:val="0000EE"/>
          </w:rPr>
          <w:t>Exhibit No. - 99.1</w:t>
        </w:r>
      </w:hyperlink>
    </w:p>
    <w:p>
      <w:pPr>
        <w:spacing w:after="0"/>
        <w:rPr>
          <w:rFonts w:ascii="Arial" w:cs="Arial" w:eastAsia="Arial" w:hAnsi="Arial"/>
          <w:sz w:val="17"/>
          <w:szCs w:val="17"/>
          <w:u w:val="single" w:color="auto"/>
          <w:color w:val="0000EE"/>
        </w:rPr>
      </w:pPr>
      <w:r>
        <w:rPr>
          <w:rFonts w:ascii="Arial" w:cs="Arial" w:eastAsia="Arial" w:hAnsi="Arial"/>
          <w:sz w:val="16"/>
          <w:szCs w:val="16"/>
          <w:color w:val="auto"/>
        </w:rPr>
        <w:t>Description – Fourth Quarter and Full Year 2018 Earnings Release, dated March 12, 2019, of 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980" w:type="dxa"/>
            <w:vAlign w:val="bottom"/>
            <w:gridSpan w:val="2"/>
          </w:tcPr>
          <w:p>
            <w:pPr>
              <w:ind w:left="2300"/>
              <w:spacing w:after="0"/>
              <w:rPr>
                <w:sz w:val="20"/>
                <w:szCs w:val="20"/>
                <w:color w:val="auto"/>
              </w:rPr>
            </w:pPr>
            <w:r>
              <w:rPr>
                <w:rFonts w:ascii="Arial" w:cs="Arial" w:eastAsia="Arial" w:hAnsi="Arial"/>
                <w:sz w:val="18"/>
                <w:szCs w:val="18"/>
                <w:color w:val="auto"/>
              </w:rPr>
              <w:t>Cohu, Inc.</w:t>
            </w:r>
          </w:p>
        </w:tc>
        <w:tc>
          <w:tcPr>
            <w:tcW w:w="0" w:type="dxa"/>
            <w:vAlign w:val="bottom"/>
          </w:tcPr>
          <w:p>
            <w:pPr>
              <w:spacing w:after="0"/>
              <w:rPr>
                <w:sz w:val="1"/>
                <w:szCs w:val="1"/>
                <w:color w:val="auto"/>
              </w:rPr>
            </w:pPr>
          </w:p>
        </w:tc>
      </w:tr>
      <w:tr>
        <w:trPr>
          <w:trHeight w:val="432"/>
        </w:trPr>
        <w:tc>
          <w:tcPr>
            <w:tcW w:w="3440" w:type="dxa"/>
            <w:vAlign w:val="bottom"/>
            <w:vMerge w:val="restart"/>
          </w:tcPr>
          <w:p>
            <w:pPr>
              <w:spacing w:after="0"/>
              <w:rPr>
                <w:sz w:val="20"/>
                <w:szCs w:val="20"/>
                <w:color w:val="auto"/>
              </w:rPr>
            </w:pPr>
            <w:r>
              <w:rPr>
                <w:rFonts w:ascii="Arial" w:cs="Arial" w:eastAsia="Arial" w:hAnsi="Arial"/>
                <w:sz w:val="18"/>
                <w:szCs w:val="18"/>
                <w:i w:val="1"/>
                <w:iCs w:val="1"/>
                <w:color w:val="auto"/>
              </w:rPr>
              <w:t>March 12, 2019</w:t>
            </w:r>
          </w:p>
        </w:tc>
        <w:tc>
          <w:tcPr>
            <w:tcW w:w="7980" w:type="dxa"/>
            <w:vAlign w:val="bottom"/>
            <w:gridSpan w:val="2"/>
          </w:tcPr>
          <w:p>
            <w:pPr>
              <w:ind w:left="2280"/>
              <w:spacing w:after="0"/>
              <w:rPr>
                <w:sz w:val="20"/>
                <w:szCs w:val="20"/>
                <w:color w:val="auto"/>
              </w:rPr>
            </w:pPr>
            <w:r>
              <w:rPr>
                <w:rFonts w:ascii="Arial" w:cs="Arial" w:eastAsia="Arial" w:hAnsi="Arial"/>
                <w:sz w:val="18"/>
                <w:szCs w:val="18"/>
                <w:i w:val="1"/>
                <w:iCs w:val="1"/>
                <w:color w:val="auto"/>
              </w:rPr>
              <w:t>By:  /s/ Jeffrey D. Jones</w:t>
            </w:r>
          </w:p>
        </w:tc>
        <w:tc>
          <w:tcPr>
            <w:tcW w:w="0" w:type="dxa"/>
            <w:vAlign w:val="bottom"/>
          </w:tcPr>
          <w:p>
            <w:pPr>
              <w:spacing w:after="0"/>
              <w:rPr>
                <w:sz w:val="1"/>
                <w:szCs w:val="1"/>
                <w:color w:val="auto"/>
              </w:rPr>
            </w:pPr>
          </w:p>
        </w:tc>
      </w:tr>
      <w:tr>
        <w:trPr>
          <w:trHeight w:val="68"/>
        </w:trPr>
        <w:tc>
          <w:tcPr>
            <w:tcW w:w="3440" w:type="dxa"/>
            <w:vAlign w:val="bottom"/>
            <w:vMerge w:val="continue"/>
          </w:tcPr>
          <w:p>
            <w:pPr>
              <w:spacing w:after="0"/>
              <w:rPr>
                <w:sz w:val="5"/>
                <w:szCs w:val="5"/>
                <w:color w:val="auto"/>
              </w:rPr>
            </w:pPr>
          </w:p>
        </w:tc>
        <w:tc>
          <w:tcPr>
            <w:tcW w:w="2620" w:type="dxa"/>
            <w:vAlign w:val="bottom"/>
          </w:tcPr>
          <w:p>
            <w:pPr>
              <w:spacing w:after="0"/>
              <w:rPr>
                <w:sz w:val="5"/>
                <w:szCs w:val="5"/>
                <w:color w:val="auto"/>
              </w:rPr>
            </w:pPr>
          </w:p>
        </w:tc>
        <w:tc>
          <w:tcPr>
            <w:tcW w:w="5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i w:val="1"/>
                <w:iCs w:val="1"/>
                <w:color w:val="auto"/>
              </w:rPr>
              <w:t>Name: Jeffrey D. Jones</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Title: VP Finance and Chief Financial Officer</w:t>
            </w:r>
          </w:p>
        </w:tc>
        <w:tc>
          <w:tcPr>
            <w:tcW w:w="0" w:type="dxa"/>
            <w:vAlign w:val="bottom"/>
          </w:tcPr>
          <w:p>
            <w:pPr>
              <w:spacing w:after="0"/>
              <w:rPr>
                <w:sz w:val="1"/>
                <w:szCs w:val="1"/>
                <w:color w:val="auto"/>
              </w:rPr>
            </w:pPr>
          </w:p>
        </w:tc>
      </w:tr>
      <w:tr>
        <w:trPr>
          <w:trHeight w:val="574"/>
        </w:trPr>
        <w:tc>
          <w:tcPr>
            <w:tcW w:w="3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tcPr>
          <w:p>
            <w:pPr>
              <w:ind w:left="326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675"/>
        </w:trPr>
        <w:tc>
          <w:tcPr>
            <w:tcW w:w="17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41"/>
        </w:trPr>
        <w:tc>
          <w:tcPr>
            <w:tcW w:w="172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9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vMerge w:val="continue"/>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Description – Fourth Quarter and Full Year 2018 Earnings Release, dated March 12, 2019, of Cohu, Inc.</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17145</wp:posOffset>
            </wp:positionV>
            <wp:extent cx="3507740" cy="1689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774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Cohu Reports Fourth Quarter and Full Year 2018 Operating Results</w:t>
      </w:r>
    </w:p>
    <w:p>
      <w:pPr>
        <w:spacing w:after="0" w:line="2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Third consecutive year of revenue growth</w:t>
      </w:r>
    </w:p>
    <w:p>
      <w:pPr>
        <w:spacing w:after="0" w:line="161" w:lineRule="exact"/>
        <w:rPr>
          <w:rFonts w:ascii="Arial" w:cs="Arial" w:eastAsia="Arial" w:hAnsi="Arial"/>
          <w:sz w:val="20"/>
          <w:szCs w:val="20"/>
          <w:i w:val="1"/>
          <w:iCs w:val="1"/>
          <w:color w:val="auto"/>
        </w:rPr>
      </w:pPr>
    </w:p>
    <w:p>
      <w:pPr>
        <w:ind w:left="660" w:hanging="328"/>
        <w:spacing w:after="0"/>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GAAP gross margin of 24.6%, including the impact of restructuring</w:t>
      </w:r>
    </w:p>
    <w:p>
      <w:pPr>
        <w:spacing w:after="0" w:line="161" w:lineRule="exact"/>
        <w:rPr>
          <w:rFonts w:ascii="Arial" w:cs="Arial" w:eastAsia="Arial" w:hAnsi="Arial"/>
          <w:sz w:val="20"/>
          <w:szCs w:val="20"/>
          <w:i w:val="1"/>
          <w:iCs w:val="1"/>
          <w:color w:val="auto"/>
        </w:rPr>
      </w:pPr>
    </w:p>
    <w:p>
      <w:pPr>
        <w:ind w:left="660" w:hanging="328"/>
        <w:spacing w:after="0"/>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Non-GAAP gross margin of 44.5%</w:t>
      </w:r>
    </w:p>
    <w:p>
      <w:pPr>
        <w:spacing w:after="0" w:line="161" w:lineRule="exact"/>
        <w:rPr>
          <w:rFonts w:ascii="Arial" w:cs="Arial" w:eastAsia="Arial" w:hAnsi="Arial"/>
          <w:sz w:val="20"/>
          <w:szCs w:val="20"/>
          <w:i w:val="1"/>
          <w:iCs w:val="1"/>
          <w:color w:val="auto"/>
        </w:rPr>
      </w:pPr>
    </w:p>
    <w:p>
      <w:pPr>
        <w:ind w:left="660" w:hanging="328"/>
        <w:spacing w:after="0"/>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Accelerating integration of Xcerra; ahead of planned cost synergies</w:t>
      </w:r>
    </w:p>
    <w:p>
      <w:pPr>
        <w:spacing w:after="0" w:line="313"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POWAY, Calif., March 12, 2019 -- Cohu, Inc. (NASDAQ: COHU), a global leader in back-end semiconductor equipment and services, today reported fiscal 2018 fourth quarter net sales of $170.6 million and a GAAP loss of $57.1 million or $1.40 per share. Net sales for full year 2018 were $451.8 million and</w:t>
      </w:r>
    </w:p>
    <w:p>
      <w:pPr>
        <w:ind w:right="60"/>
        <w:spacing w:after="0" w:line="257" w:lineRule="auto"/>
        <w:rPr>
          <w:sz w:val="20"/>
          <w:szCs w:val="20"/>
          <w:color w:val="auto"/>
        </w:rPr>
      </w:pPr>
      <w:r>
        <w:rPr>
          <w:rFonts w:ascii="Arial" w:cs="Arial" w:eastAsia="Arial" w:hAnsi="Arial"/>
          <w:sz w:val="18"/>
          <w:szCs w:val="18"/>
          <w:color w:val="auto"/>
        </w:rPr>
        <w:t xml:space="preserve">GAAP loss was $32.5 million or $1.02 per share. Cohu’s results for the three months ended December 29, 2018, include the results of Xcerra Corporation which was acquired on October 1, 2018. Operating results for the three- and twelve-month periods ended December 29, 2018, include charges totaling $37.8 million associated with the acquisition and subsequent restructuring of Xcerra comprised of $18.7 million for employee severance, facilities consolidation and other restructuring charges and $19.1 million related to the decision to end manufacturing of certain of Xcerra’s semiconductor test handler products. </w:t>
      </w:r>
      <w:r>
        <w:rPr>
          <w:rFonts w:ascii="Arial" w:cs="Arial" w:eastAsia="Arial" w:hAnsi="Arial"/>
          <w:sz w:val="30"/>
          <w:szCs w:val="30"/>
          <w:color w:val="auto"/>
          <w:vertAlign w:val="superscript"/>
        </w:rPr>
        <w:t>(1)</w:t>
      </w:r>
    </w:p>
    <w:p>
      <w:pPr>
        <w:spacing w:after="0" w:line="2"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 xml:space="preserve">The Company also reported non-GAAP results, with fourth quarter 2018 income of $10.0 million or $0.24 per share and income of $48.3 million or $1.49 per share for full year 2018. </w:t>
      </w:r>
      <w:r>
        <w:rPr>
          <w:rFonts w:ascii="Arial" w:cs="Arial" w:eastAsia="Arial" w:hAnsi="Arial"/>
          <w:sz w:val="30"/>
          <w:szCs w:val="30"/>
          <w:color w:val="auto"/>
          <w:vertAlign w:val="superscript"/>
        </w:rPr>
        <w:t>(1)</w:t>
      </w:r>
    </w:p>
    <w:p>
      <w:pPr>
        <w:spacing w:after="0" w:line="45" w:lineRule="exact"/>
        <w:rPr>
          <w:sz w:val="20"/>
          <w:szCs w:val="20"/>
          <w:color w:val="auto"/>
        </w:rPr>
      </w:pPr>
    </w:p>
    <w:tbl>
      <w:tblPr>
        <w:tblLayout w:type="fixed"/>
        <w:tblInd w:w="170" w:type="dxa"/>
        <w:tblCellMar>
          <w:top w:w="0" w:type="dxa"/>
          <w:left w:w="0" w:type="dxa"/>
          <w:bottom w:w="0" w:type="dxa"/>
          <w:right w:w="0" w:type="dxa"/>
        </w:tblCellMar>
      </w:tblPr>
      <w:tr>
        <w:trPr>
          <w:trHeight w:val="322"/>
        </w:trPr>
        <w:tc>
          <w:tcPr>
            <w:tcW w:w="5360" w:type="dxa"/>
            <w:vAlign w:val="bottom"/>
            <w:tcBorders>
              <w:top w:val="single" w:sz="8" w:color="auto"/>
              <w:left w:val="single" w:sz="8" w:color="auto"/>
            </w:tcBorders>
          </w:tcPr>
          <w:p>
            <w:pPr>
              <w:ind w:left="220"/>
              <w:spacing w:after="0"/>
              <w:rPr>
                <w:sz w:val="20"/>
                <w:szCs w:val="20"/>
                <w:color w:val="auto"/>
              </w:rPr>
            </w:pPr>
            <w:r>
              <w:rPr>
                <w:rFonts w:ascii="Arial" w:cs="Arial" w:eastAsia="Arial" w:hAnsi="Arial"/>
                <w:sz w:val="18"/>
                <w:szCs w:val="18"/>
                <w:b w:val="1"/>
                <w:bCs w:val="1"/>
                <w:color w:val="auto"/>
              </w:rPr>
              <w:t xml:space="preserve">GAAP Results </w:t>
            </w:r>
            <w:r>
              <w:rPr>
                <w:rFonts w:ascii="Arial" w:cs="Arial" w:eastAsia="Arial" w:hAnsi="Arial"/>
                <w:sz w:val="27"/>
                <w:szCs w:val="27"/>
                <w:b w:val="1"/>
                <w:bCs w:val="1"/>
                <w:color w:val="auto"/>
                <w:vertAlign w:val="superscript"/>
              </w:rPr>
              <w:t>(1)</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r>
      <w:tr>
        <w:trPr>
          <w:trHeight w:val="216"/>
        </w:trPr>
        <w:tc>
          <w:tcPr>
            <w:tcW w:w="5360" w:type="dxa"/>
            <w:vAlign w:val="bottom"/>
            <w:tcBorders>
              <w:left w:val="single" w:sz="8" w:color="auto"/>
            </w:tcBorders>
          </w:tcPr>
          <w:p>
            <w:pPr>
              <w:ind w:left="220"/>
              <w:spacing w:after="0"/>
              <w:rPr>
                <w:sz w:val="20"/>
                <w:szCs w:val="20"/>
                <w:color w:val="auto"/>
              </w:rPr>
            </w:pPr>
            <w:r>
              <w:rPr>
                <w:rFonts w:ascii="Arial" w:cs="Arial" w:eastAsia="Arial" w:hAnsi="Arial"/>
                <w:sz w:val="14"/>
                <w:szCs w:val="14"/>
                <w:i w:val="1"/>
                <w:iCs w:val="1"/>
                <w:color w:val="auto"/>
              </w:rPr>
              <w:t>(in millions, except per share amounts)</w:t>
            </w:r>
          </w:p>
        </w:tc>
        <w:tc>
          <w:tcPr>
            <w:tcW w:w="880" w:type="dxa"/>
            <w:vAlign w:val="bottom"/>
          </w:tcPr>
          <w:p>
            <w:pPr>
              <w:ind w:left="180"/>
              <w:spacing w:after="0"/>
              <w:rPr>
                <w:sz w:val="20"/>
                <w:szCs w:val="20"/>
                <w:color w:val="auto"/>
              </w:rPr>
            </w:pPr>
            <w:r>
              <w:rPr>
                <w:rFonts w:ascii="Arial" w:cs="Arial" w:eastAsia="Arial" w:hAnsi="Arial"/>
                <w:sz w:val="18"/>
                <w:szCs w:val="18"/>
                <w:b w:val="1"/>
                <w:bCs w:val="1"/>
                <w:color w:val="auto"/>
              </w:rPr>
              <w:t>Q4 FY</w:t>
            </w:r>
          </w:p>
        </w:tc>
        <w:tc>
          <w:tcPr>
            <w:tcW w:w="220" w:type="dxa"/>
            <w:vAlign w:val="bottom"/>
          </w:tcPr>
          <w:p>
            <w:pPr>
              <w:spacing w:after="0"/>
              <w:rPr>
                <w:sz w:val="18"/>
                <w:szCs w:val="18"/>
                <w:color w:val="auto"/>
              </w:rPr>
            </w:pPr>
          </w:p>
        </w:tc>
        <w:tc>
          <w:tcPr>
            <w:tcW w:w="900" w:type="dxa"/>
            <w:vAlign w:val="bottom"/>
          </w:tcPr>
          <w:p>
            <w:pPr>
              <w:ind w:left="200"/>
              <w:spacing w:after="0"/>
              <w:rPr>
                <w:sz w:val="20"/>
                <w:szCs w:val="20"/>
                <w:color w:val="auto"/>
              </w:rPr>
            </w:pPr>
            <w:r>
              <w:rPr>
                <w:rFonts w:ascii="Arial" w:cs="Arial" w:eastAsia="Arial" w:hAnsi="Arial"/>
                <w:sz w:val="18"/>
                <w:szCs w:val="18"/>
                <w:b w:val="1"/>
                <w:bCs w:val="1"/>
                <w:color w:val="auto"/>
              </w:rPr>
              <w:t>Q3 FY</w:t>
            </w:r>
          </w:p>
        </w:tc>
        <w:tc>
          <w:tcPr>
            <w:tcW w:w="22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Arial" w:cs="Arial" w:eastAsia="Arial" w:hAnsi="Arial"/>
                <w:sz w:val="18"/>
                <w:szCs w:val="18"/>
                <w:b w:val="1"/>
                <w:bCs w:val="1"/>
                <w:color w:val="auto"/>
              </w:rPr>
              <w:t>Q4 FY</w:t>
            </w:r>
          </w:p>
        </w:tc>
        <w:tc>
          <w:tcPr>
            <w:tcW w:w="22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w w:val="94"/>
              </w:rPr>
              <w:t>12 Months</w:t>
            </w:r>
          </w:p>
        </w:tc>
        <w:tc>
          <w:tcPr>
            <w:tcW w:w="200" w:type="dxa"/>
            <w:vAlign w:val="bottom"/>
          </w:tcPr>
          <w:p>
            <w:pPr>
              <w:spacing w:after="0"/>
              <w:rPr>
                <w:sz w:val="18"/>
                <w:szCs w:val="18"/>
                <w:color w:val="auto"/>
              </w:rPr>
            </w:pP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12 Months</w:t>
            </w:r>
          </w:p>
        </w:tc>
      </w:tr>
      <w:tr>
        <w:trPr>
          <w:trHeight w:val="234"/>
        </w:trPr>
        <w:tc>
          <w:tcPr>
            <w:tcW w:w="5360" w:type="dxa"/>
            <w:vAlign w:val="bottom"/>
            <w:tcBorders>
              <w:left w:val="single" w:sz="8" w:color="auto"/>
            </w:tcBorders>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9"/>
              </w:rPr>
              <w:t>2018</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2017</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2018</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right w:val="single" w:sz="8" w:color="auto"/>
            </w:tcBorders>
          </w:tcPr>
          <w:p>
            <w:pPr>
              <w:spacing w:after="0"/>
              <w:rPr>
                <w:sz w:val="20"/>
                <w:szCs w:val="20"/>
                <w:color w:val="auto"/>
              </w:rPr>
            </w:pPr>
          </w:p>
        </w:tc>
      </w:tr>
      <w:tr>
        <w:trPr>
          <w:trHeight w:val="27"/>
        </w:trPr>
        <w:tc>
          <w:tcPr>
            <w:tcW w:w="5360" w:type="dxa"/>
            <w:vAlign w:val="bottom"/>
            <w:tcBorders>
              <w:lef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r>
      <w:tr>
        <w:trPr>
          <w:trHeight w:val="237"/>
        </w:trPr>
        <w:tc>
          <w:tcPr>
            <w:tcW w:w="536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Net sales</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$170.6</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$86.2</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$84.1</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$451.8</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$352.7</w:t>
            </w:r>
          </w:p>
        </w:tc>
        <w:tc>
          <w:tcPr>
            <w:tcW w:w="140" w:type="dxa"/>
            <w:vAlign w:val="bottom"/>
            <w:tcBorders>
              <w:right w:val="single" w:sz="8" w:color="auto"/>
            </w:tcBorders>
          </w:tcPr>
          <w:p>
            <w:pPr>
              <w:spacing w:after="0"/>
              <w:rPr>
                <w:sz w:val="20"/>
                <w:szCs w:val="20"/>
                <w:color w:val="auto"/>
              </w:rPr>
            </w:pPr>
          </w:p>
        </w:tc>
      </w:tr>
      <w:tr>
        <w:trPr>
          <w:trHeight w:val="270"/>
        </w:trPr>
        <w:tc>
          <w:tcPr>
            <w:tcW w:w="536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Income (loss)</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$(57.1)</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5"/>
              </w:rPr>
              <w:t>$4.8</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$6.9</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$(32.5)</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$33.1</w:t>
            </w:r>
          </w:p>
        </w:tc>
        <w:tc>
          <w:tcPr>
            <w:tcW w:w="140" w:type="dxa"/>
            <w:vAlign w:val="bottom"/>
            <w:tcBorders>
              <w:right w:val="single" w:sz="8" w:color="auto"/>
            </w:tcBorders>
          </w:tcPr>
          <w:p>
            <w:pPr>
              <w:spacing w:after="0"/>
              <w:rPr>
                <w:sz w:val="23"/>
                <w:szCs w:val="23"/>
                <w:color w:val="auto"/>
              </w:rPr>
            </w:pPr>
          </w:p>
        </w:tc>
      </w:tr>
      <w:tr>
        <w:trPr>
          <w:trHeight w:val="270"/>
        </w:trPr>
        <w:tc>
          <w:tcPr>
            <w:tcW w:w="536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Income (loss) per share</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$(1.40)</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$0.16</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$0.23</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$(1.02)</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$1.15</w:t>
            </w:r>
          </w:p>
        </w:tc>
        <w:tc>
          <w:tcPr>
            <w:tcW w:w="140" w:type="dxa"/>
            <w:vAlign w:val="bottom"/>
            <w:tcBorders>
              <w:right w:val="single" w:sz="8" w:color="auto"/>
            </w:tcBorders>
          </w:tcPr>
          <w:p>
            <w:pPr>
              <w:spacing w:after="0"/>
              <w:rPr>
                <w:sz w:val="23"/>
                <w:szCs w:val="23"/>
                <w:color w:val="auto"/>
              </w:rPr>
            </w:pPr>
          </w:p>
        </w:tc>
      </w:tr>
      <w:tr>
        <w:trPr>
          <w:trHeight w:val="24"/>
        </w:trPr>
        <w:tc>
          <w:tcPr>
            <w:tcW w:w="536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37"/>
        </w:trPr>
        <w:tc>
          <w:tcPr>
            <w:tcW w:w="5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r>
        <w:trPr>
          <w:trHeight w:val="302"/>
        </w:trPr>
        <w:tc>
          <w:tcPr>
            <w:tcW w:w="5360" w:type="dxa"/>
            <w:vAlign w:val="bottom"/>
            <w:tcBorders>
              <w:left w:val="single" w:sz="8" w:color="auto"/>
            </w:tcBorders>
          </w:tcPr>
          <w:p>
            <w:pPr>
              <w:ind w:left="220"/>
              <w:spacing w:after="0" w:line="302" w:lineRule="exact"/>
              <w:rPr>
                <w:sz w:val="20"/>
                <w:szCs w:val="20"/>
                <w:color w:val="auto"/>
              </w:rPr>
            </w:pPr>
            <w:r>
              <w:rPr>
                <w:rFonts w:ascii="Arial" w:cs="Arial" w:eastAsia="Arial" w:hAnsi="Arial"/>
                <w:sz w:val="18"/>
                <w:szCs w:val="18"/>
                <w:b w:val="1"/>
                <w:bCs w:val="1"/>
                <w:color w:val="auto"/>
              </w:rPr>
              <w:t xml:space="preserve">Non-GAAP Results </w:t>
            </w:r>
            <w:r>
              <w:rPr>
                <w:rFonts w:ascii="Arial" w:cs="Arial" w:eastAsia="Arial" w:hAnsi="Arial"/>
                <w:sz w:val="27"/>
                <w:szCs w:val="27"/>
                <w:b w:val="1"/>
                <w:bCs w:val="1"/>
                <w:color w:val="auto"/>
                <w:vertAlign w:val="superscript"/>
              </w:rPr>
              <w:t>(1)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216"/>
        </w:trPr>
        <w:tc>
          <w:tcPr>
            <w:tcW w:w="5360" w:type="dxa"/>
            <w:vAlign w:val="bottom"/>
            <w:tcBorders>
              <w:left w:val="single" w:sz="8" w:color="auto"/>
            </w:tcBorders>
          </w:tcPr>
          <w:p>
            <w:pPr>
              <w:ind w:left="220"/>
              <w:spacing w:after="0"/>
              <w:rPr>
                <w:sz w:val="20"/>
                <w:szCs w:val="20"/>
                <w:color w:val="auto"/>
              </w:rPr>
            </w:pPr>
            <w:r>
              <w:rPr>
                <w:rFonts w:ascii="Arial" w:cs="Arial" w:eastAsia="Arial" w:hAnsi="Arial"/>
                <w:sz w:val="14"/>
                <w:szCs w:val="14"/>
                <w:i w:val="1"/>
                <w:iCs w:val="1"/>
                <w:color w:val="auto"/>
              </w:rPr>
              <w:t>(in millions, except per share amounts)</w:t>
            </w:r>
          </w:p>
        </w:tc>
        <w:tc>
          <w:tcPr>
            <w:tcW w:w="880" w:type="dxa"/>
            <w:vAlign w:val="bottom"/>
          </w:tcPr>
          <w:p>
            <w:pPr>
              <w:ind w:left="180"/>
              <w:spacing w:after="0"/>
              <w:rPr>
                <w:sz w:val="20"/>
                <w:szCs w:val="20"/>
                <w:color w:val="auto"/>
              </w:rPr>
            </w:pPr>
            <w:r>
              <w:rPr>
                <w:rFonts w:ascii="Arial" w:cs="Arial" w:eastAsia="Arial" w:hAnsi="Arial"/>
                <w:sz w:val="18"/>
                <w:szCs w:val="18"/>
                <w:b w:val="1"/>
                <w:bCs w:val="1"/>
                <w:color w:val="auto"/>
              </w:rPr>
              <w:t>Q4 FY</w:t>
            </w:r>
          </w:p>
        </w:tc>
        <w:tc>
          <w:tcPr>
            <w:tcW w:w="220" w:type="dxa"/>
            <w:vAlign w:val="bottom"/>
          </w:tcPr>
          <w:p>
            <w:pPr>
              <w:spacing w:after="0"/>
              <w:rPr>
                <w:sz w:val="18"/>
                <w:szCs w:val="18"/>
                <w:color w:val="auto"/>
              </w:rPr>
            </w:pPr>
          </w:p>
        </w:tc>
        <w:tc>
          <w:tcPr>
            <w:tcW w:w="900" w:type="dxa"/>
            <w:vAlign w:val="bottom"/>
          </w:tcPr>
          <w:p>
            <w:pPr>
              <w:ind w:left="200"/>
              <w:spacing w:after="0"/>
              <w:rPr>
                <w:sz w:val="20"/>
                <w:szCs w:val="20"/>
                <w:color w:val="auto"/>
              </w:rPr>
            </w:pPr>
            <w:r>
              <w:rPr>
                <w:rFonts w:ascii="Arial" w:cs="Arial" w:eastAsia="Arial" w:hAnsi="Arial"/>
                <w:sz w:val="18"/>
                <w:szCs w:val="18"/>
                <w:b w:val="1"/>
                <w:bCs w:val="1"/>
                <w:color w:val="auto"/>
              </w:rPr>
              <w:t>Q3 FY</w:t>
            </w:r>
          </w:p>
        </w:tc>
        <w:tc>
          <w:tcPr>
            <w:tcW w:w="22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Arial" w:cs="Arial" w:eastAsia="Arial" w:hAnsi="Arial"/>
                <w:sz w:val="18"/>
                <w:szCs w:val="18"/>
                <w:b w:val="1"/>
                <w:bCs w:val="1"/>
                <w:color w:val="auto"/>
              </w:rPr>
              <w:t>Q4 FY</w:t>
            </w:r>
          </w:p>
        </w:tc>
        <w:tc>
          <w:tcPr>
            <w:tcW w:w="22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w w:val="94"/>
              </w:rPr>
              <w:t>12 Months</w:t>
            </w:r>
          </w:p>
        </w:tc>
        <w:tc>
          <w:tcPr>
            <w:tcW w:w="200" w:type="dxa"/>
            <w:vAlign w:val="bottom"/>
          </w:tcPr>
          <w:p>
            <w:pPr>
              <w:spacing w:after="0"/>
              <w:rPr>
                <w:sz w:val="18"/>
                <w:szCs w:val="18"/>
                <w:color w:val="auto"/>
              </w:rPr>
            </w:pP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12 Months</w:t>
            </w:r>
          </w:p>
        </w:tc>
      </w:tr>
      <w:tr>
        <w:trPr>
          <w:trHeight w:val="234"/>
        </w:trPr>
        <w:tc>
          <w:tcPr>
            <w:tcW w:w="5360" w:type="dxa"/>
            <w:vAlign w:val="bottom"/>
            <w:tcBorders>
              <w:left w:val="single" w:sz="8" w:color="auto"/>
            </w:tcBorders>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9"/>
              </w:rPr>
              <w:t>2018</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2017</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2018</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right w:val="single" w:sz="8" w:color="auto"/>
            </w:tcBorders>
          </w:tcPr>
          <w:p>
            <w:pPr>
              <w:spacing w:after="0"/>
              <w:rPr>
                <w:sz w:val="20"/>
                <w:szCs w:val="20"/>
                <w:color w:val="auto"/>
              </w:rPr>
            </w:pPr>
          </w:p>
        </w:tc>
      </w:tr>
      <w:tr>
        <w:trPr>
          <w:trHeight w:val="27"/>
        </w:trPr>
        <w:tc>
          <w:tcPr>
            <w:tcW w:w="5360" w:type="dxa"/>
            <w:vAlign w:val="bottom"/>
            <w:tcBorders>
              <w:lef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r>
      <w:tr>
        <w:trPr>
          <w:trHeight w:val="237"/>
        </w:trPr>
        <w:tc>
          <w:tcPr>
            <w:tcW w:w="536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Income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$10.0</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5"/>
              </w:rPr>
              <w:t>$9.0</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$8.1</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$48.3</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$44.4</w:t>
            </w:r>
          </w:p>
        </w:tc>
        <w:tc>
          <w:tcPr>
            <w:tcW w:w="140" w:type="dxa"/>
            <w:vAlign w:val="bottom"/>
            <w:tcBorders>
              <w:right w:val="single" w:sz="8" w:color="auto"/>
            </w:tcBorders>
          </w:tcPr>
          <w:p>
            <w:pPr>
              <w:spacing w:after="0"/>
              <w:rPr>
                <w:sz w:val="20"/>
                <w:szCs w:val="20"/>
                <w:color w:val="auto"/>
              </w:rPr>
            </w:pPr>
          </w:p>
        </w:tc>
      </w:tr>
      <w:tr>
        <w:trPr>
          <w:trHeight w:val="270"/>
        </w:trPr>
        <w:tc>
          <w:tcPr>
            <w:tcW w:w="536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Income per share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$0.24</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$0.30</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$0.28</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$1.49</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$1.54</w:t>
            </w:r>
          </w:p>
        </w:tc>
        <w:tc>
          <w:tcPr>
            <w:tcW w:w="140" w:type="dxa"/>
            <w:vAlign w:val="bottom"/>
            <w:tcBorders>
              <w:right w:val="single" w:sz="8" w:color="auto"/>
            </w:tcBorders>
          </w:tcPr>
          <w:p>
            <w:pPr>
              <w:spacing w:after="0"/>
              <w:rPr>
                <w:sz w:val="23"/>
                <w:szCs w:val="23"/>
                <w:color w:val="auto"/>
              </w:rPr>
            </w:pPr>
          </w:p>
        </w:tc>
      </w:tr>
      <w:tr>
        <w:trPr>
          <w:trHeight w:val="24"/>
        </w:trPr>
        <w:tc>
          <w:tcPr>
            <w:tcW w:w="536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bl>
    <w:p>
      <w:pPr>
        <w:spacing w:after="0" w:line="10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4"/>
          <w:szCs w:val="14"/>
          <w:color w:val="auto"/>
        </w:rPr>
        <w:t>(1)</w:t>
        <w:tab/>
        <w:t>All amounts presented are from continuing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Total cash and investments at year-end were $165.0 million.</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Luis Müller, President and Chief Executive Officer of Cohu, stated, “Cohu delivered growth year-over-year, and annual sales of $451.8 million set a new record. There were numerous design-wins in the fourth quarter, including the capture of three new customers for tri-temperature pick-and-place handlers, the qualification of our turret inspection platform for a new automotive application, and initial orders from multiple customers for xWave contactors for testing 5G antenna modules, power amplifiers, transceivers and automotive radar.”</w:t>
      </w:r>
    </w:p>
    <w:p>
      <w:pPr>
        <w:spacing w:after="0" w:line="9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Müller continued, “We have accelerated the integration of Xcerra, announced plans to consolidate facilities and end manufacturing of certain test handlers, and expect to deliver the initial $20 million annual run-rate cost synergies within the first-year post-acquisition and achieve our goal of $40 million within three to five years.”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Cohu expects first quarter 2019 sales to be approximately $145 million, reflecting soft industry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1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company will host a live conference call and webcast with slides to discuss fourth quarter and full year 2018 results at 1:30 p.m. Pacific Time/4:30 p.m. Eastern Time on March 12, 2019. Interested investors and analysts are invited to dial into the conference call by using 1-866-434-5330 (domestic) or +1-213-660-0873 (international) and entering the pass code 6874566. Webcast access will be available on the Investor Information section of the company’s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92"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 xml:space="preserve">The teleconference replay will be available through April 11, 2019. The replay dial-in number is 1-855-859-2056 (domestic) or +1-404-537-3406 (international) using pass code 6874566. The webcast replay will be available on the Company’s website through March 12, 2020 at </w:t>
      </w:r>
      <w:r>
        <w:rPr>
          <w:rFonts w:ascii="Arial" w:cs="Arial" w:eastAsia="Arial" w:hAnsi="Arial"/>
          <w:sz w:val="16"/>
          <w:szCs w:val="16"/>
          <w:u w:val="single" w:color="auto"/>
          <w:color w:val="auto"/>
        </w:rPr>
        <w:t>www.cohu.com</w:t>
      </w:r>
      <w:r>
        <w:rPr>
          <w:rFonts w:ascii="Arial" w:cs="Arial" w:eastAsia="Arial" w:hAnsi="Arial"/>
          <w:sz w:val="16"/>
          <w:szCs w:val="16"/>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1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1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Included within this press release and accompanying materials are non-GAAP financial measures, including non-GAAP Gross Margin, Income and Income (adjusted earnings) per share, Adjusted EBITDA, and Operating Expense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acquired intangible assets including favorable/unfavorable lease adjustments, restructuring costs, manufacturing transition and severance costs, acquisition-related costs and associated professional fees, fair value adjustment to contingent consideration, reduction of indemnification receivable, depreciation of purchase accounting adjustments to property, plant and equipment and purchase accounting inventory step-up included in cost of sales. Reconciliations of GAAP to non-GAAP amounts for the periods presented herein are provided in schedules accompanying this release and should be considered together with the Condensed Consolidated Statements of Operations.</w:t>
      </w:r>
    </w:p>
    <w:p>
      <w:pPr>
        <w:spacing w:after="0" w:line="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3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contained in this release and accompanying materials may be considered forward-looking statements within the meaning of the U.S. Private Securities Litigation Reform Act of 1995, including statements regarding integration and cost synergy savings, timing and targets; design-wins; contactor sales growth; semiconductor market conditions in 2019 and mid-term growth; Cohu’s first quarter 2019 sales forecast, guidance, non-GAAP operating expenses, non-GAAP gross margin and effective tax rate;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and trade wars; ERP system implementation issues; the seasonal, volatile and unpredictable nature of capital expenditures by semiconductor manufacturers and recent weakening demand in this market; recent weakness in Greater China market; rapid technological change; and significant risks associated with the Xcerra acquisition including but not limited to (i) the ability of Cohu and Xcerra to integrate their businesses successfully and to achieve anticipated synergies and cost savings, (ii) the possibility that other anticipated benefits of the acquisition will not be realized, (iii) litigation relating to the acquisition that still could be instituted against Cohu and/or Xcerra, (iv) the possibility that restructuring charges will significantly exceed estimates, (v) the ability of Cohu or Xcerra to retain, attract and hire key personnel, (vi) potential adverse reactions or changes to relationships with customers, employees, suppliers or other parties resulting from the completion of the acquisition, (vii) the discovery of liabilities or deficiencies associated with Xcerra that were not identified in advance, (viii) potential failures to maintain adequate internal controls over financial reporting given the significant increase in size, number of employees, global operations and complexity of Cohu’s business, (ix) mandatory ongoing impairment evaluation of goodwill and other intangibles whereby Cohu could be required to write off some or all of this goodwill and other intangibles, (x) the adverse impact to Cohu’s operating results from interest expense on the financing debt, rising interest rates, and any restrictions on operations related to such debt, and (xi) continued availability of capital and financing and rating agency actions, and limited market access given our high debt levels. These and other risks and uncertainties are discussed more fully in Cohu’s filings with the Securities and Exchange Commission, including the most recently filed Form 10-K and Form 10-Q, the Registration Statement on Form S-4/proxy statement that was filed in connection with the Xcerra acquisition,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Yerganian, 781-467-5063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rich.yerganian@cohu.com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95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6"/>
          </w:tcPr>
          <w:p>
            <w:pPr>
              <w:jc w:val="right"/>
              <w:ind w:right="440"/>
              <w:spacing w:after="0"/>
              <w:rPr>
                <w:sz w:val="20"/>
                <w:szCs w:val="20"/>
                <w:color w:val="auto"/>
              </w:rPr>
            </w:pPr>
            <w:r>
              <w:rPr>
                <w:rFonts w:ascii="Arial" w:cs="Arial" w:eastAsia="Arial" w:hAnsi="Arial"/>
                <w:sz w:val="18"/>
                <w:szCs w:val="18"/>
                <w:color w:val="auto"/>
                <w:w w:val="97"/>
              </w:rPr>
              <w:t xml:space="preserve">Three Months Ended </w:t>
            </w:r>
            <w:r>
              <w:rPr>
                <w:rFonts w:ascii="Arial" w:cs="Arial" w:eastAsia="Arial" w:hAnsi="Arial"/>
                <w:sz w:val="27"/>
                <w:szCs w:val="27"/>
                <w:color w:val="auto"/>
                <w:w w:val="97"/>
                <w:vertAlign w:val="superscript"/>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6"/>
          </w:tcPr>
          <w:p>
            <w:pPr>
              <w:jc w:val="right"/>
              <w:ind w:right="320"/>
              <w:spacing w:after="0"/>
              <w:rPr>
                <w:sz w:val="20"/>
                <w:szCs w:val="20"/>
                <w:color w:val="auto"/>
              </w:rPr>
            </w:pPr>
            <w:r>
              <w:rPr>
                <w:rFonts w:ascii="Arial" w:cs="Arial" w:eastAsia="Arial" w:hAnsi="Arial"/>
                <w:sz w:val="18"/>
                <w:szCs w:val="18"/>
                <w:color w:val="auto"/>
                <w:w w:val="92"/>
              </w:rPr>
              <w:t xml:space="preserve">Twelve Months Ended </w:t>
            </w:r>
            <w:r>
              <w:rPr>
                <w:rFonts w:ascii="Arial" w:cs="Arial" w:eastAsia="Arial" w:hAnsi="Arial"/>
                <w:sz w:val="27"/>
                <w:szCs w:val="27"/>
                <w:color w:val="auto"/>
                <w:w w:val="92"/>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December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December 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w w:val="97"/>
              </w:rPr>
              <w:t>December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170,637</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451,768</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Cost and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shd w:val="clear" w:color="auto" w:fill="CCEEFF"/>
          </w:tcPr>
          <w:p>
            <w:pPr>
              <w:ind w:left="160"/>
              <w:spacing w:after="0" w:line="242" w:lineRule="exact"/>
              <w:rPr>
                <w:sz w:val="20"/>
                <w:szCs w:val="20"/>
                <w:color w:val="auto"/>
              </w:rPr>
            </w:pPr>
            <w:r>
              <w:rPr>
                <w:rFonts w:ascii="Arial" w:cs="Arial" w:eastAsia="Arial" w:hAnsi="Arial"/>
                <w:sz w:val="18"/>
                <w:szCs w:val="18"/>
                <w:color w:val="auto"/>
              </w:rPr>
              <w:t xml:space="preserve">Cost of sales (excludes amortization shown below) </w:t>
            </w:r>
            <w:r>
              <w:rPr>
                <w:rFonts w:ascii="Arial" w:cs="Arial" w:eastAsia="Arial" w:hAnsi="Arial"/>
                <w:sz w:val="27"/>
                <w:szCs w:val="27"/>
                <w:color w:val="auto"/>
                <w:vertAlign w:val="superscript"/>
              </w:rPr>
              <w:t>(2) (3)</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128,718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48,993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292,460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22,520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11,886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56,434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40,737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shd w:val="clear" w:color="auto" w:fill="CCEEFF"/>
          </w:tcPr>
          <w:p>
            <w:pPr>
              <w:ind w:left="160"/>
              <w:spacing w:after="0" w:line="242" w:lineRule="exact"/>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27"/>
                <w:szCs w:val="27"/>
                <w:color w:val="auto"/>
                <w:vertAlign w:val="superscript"/>
              </w:rPr>
              <w:t>(3) (4)</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45,766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17,202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96,754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160"/>
              <w:spacing w:after="0" w:line="242" w:lineRule="exact"/>
              <w:rPr>
                <w:sz w:val="20"/>
                <w:szCs w:val="20"/>
                <w:color w:val="auto"/>
              </w:rPr>
            </w:pPr>
            <w:r>
              <w:rPr>
                <w:rFonts w:ascii="Arial" w:cs="Arial" w:eastAsia="Arial" w:hAnsi="Arial"/>
                <w:sz w:val="18"/>
                <w:szCs w:val="18"/>
                <w:color w:val="auto"/>
              </w:rPr>
              <w:t xml:space="preserve">Amortization of purchased intangible assets </w:t>
            </w:r>
            <w:r>
              <w:rPr>
                <w:rFonts w:ascii="Arial" w:cs="Arial" w:eastAsia="Arial" w:hAnsi="Arial"/>
                <w:sz w:val="27"/>
                <w:szCs w:val="27"/>
                <w:color w:val="auto"/>
                <w:vertAlign w:val="superscript"/>
              </w:rPr>
              <w:t>(3)</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14,080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17,197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charges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18,704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229,788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481,549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314,979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(59,151)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(29,781)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(expense) income: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(4,944)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(4,977)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Foreign transaction gain (loss) and other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(63,382)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4,866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(31,912)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(6,266)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(57,116)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6,895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(32,543)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spacing w:after="0" w:line="236" w:lineRule="exact"/>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27"/>
                <w:szCs w:val="27"/>
                <w:color w:val="auto"/>
                <w:vertAlign w:val="superscript"/>
              </w:rPr>
              <w:t>(5)</w:t>
            </w:r>
          </w:p>
        </w:tc>
        <w:tc>
          <w:tcPr>
            <w:tcW w:w="5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 before taxes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(56,997)</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(32,424)</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Cohu</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(56,754)</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6,895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(32,181)</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32,843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Income (loss) per share:</w:t>
            </w:r>
          </w:p>
        </w:tc>
        <w:tc>
          <w:tcPr>
            <w:tcW w:w="5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Income (loss) from continuing operations before non-controlling interest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(1.02)</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Net loss attributable to noncontrolling interest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Cohu</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(1.01)</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Income (loss) from continuing operations before non-controlling interest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(1.02)</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Net loss attributable to noncontrolling interest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Cohu</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(1.01)</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CCEEFF"/>
          </w:tcPr>
          <w:p>
            <w:pPr>
              <w:spacing w:after="0" w:line="242" w:lineRule="exact"/>
              <w:rPr>
                <w:sz w:val="20"/>
                <w:szCs w:val="20"/>
                <w:color w:val="auto"/>
              </w:rPr>
            </w:pPr>
            <w:r>
              <w:rPr>
                <w:rFonts w:ascii="Arial" w:cs="Arial" w:eastAsia="Arial" w:hAnsi="Arial"/>
                <w:sz w:val="18"/>
                <w:szCs w:val="18"/>
                <w:color w:val="auto"/>
              </w:rPr>
              <w:t xml:space="preserve">Weighted average shares used in computing income (loss) per share: </w:t>
            </w:r>
            <w:r>
              <w:rPr>
                <w:rFonts w:ascii="Arial" w:cs="Arial" w:eastAsia="Arial" w:hAnsi="Arial"/>
                <w:sz w:val="27"/>
                <w:szCs w:val="27"/>
                <w:color w:val="auto"/>
                <w:vertAlign w:val="superscript"/>
              </w:rPr>
              <w:t>(6)</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Basic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40,660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28,503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31,776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40,660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29,584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31,776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28,916</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940" w:type="dxa"/>
            <w:vAlign w:val="bottom"/>
            <w:tcBorders>
              <w:top w:val="single" w:sz="8" w:color="CCEEFF"/>
              <w:bottom w:val="single" w:sz="8" w:color="auto"/>
            </w:tcBorders>
          </w:tcPr>
          <w:p>
            <w:pPr>
              <w:spacing w:after="0"/>
              <w:rPr>
                <w:sz w:val="7"/>
                <w:szCs w:val="7"/>
                <w:color w:val="auto"/>
              </w:rPr>
            </w:pPr>
          </w:p>
        </w:tc>
        <w:tc>
          <w:tcPr>
            <w:tcW w:w="580" w:type="dxa"/>
            <w:vAlign w:val="bottom"/>
            <w:tcBorders>
              <w:top w:val="single" w:sz="8" w:color="CCEEFF"/>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940" w:type="dxa"/>
            <w:vAlign w:val="bottom"/>
            <w:tcBorders>
              <w:top w:val="single" w:sz="8" w:color="auto"/>
              <w:bottom w:val="single" w:sz="8" w:color="auto"/>
            </w:tcBorders>
          </w:tcPr>
          <w:p>
            <w:pPr>
              <w:spacing w:after="0"/>
              <w:rPr>
                <w:sz w:val="7"/>
                <w:szCs w:val="7"/>
                <w:color w:val="auto"/>
              </w:rPr>
            </w:pPr>
          </w:p>
        </w:tc>
        <w:tc>
          <w:tcPr>
            <w:tcW w:w="140" w:type="dxa"/>
            <w:vAlign w:val="bottom"/>
            <w:tcBorders>
              <w:top w:val="single" w:sz="8" w:color="CCEEFF"/>
              <w:bottom w:val="single" w:sz="8" w:color="auto"/>
            </w:tcBorders>
          </w:tcPr>
          <w:p>
            <w:pPr>
              <w:spacing w:after="0"/>
              <w:rPr>
                <w:sz w:val="7"/>
                <w:szCs w:val="7"/>
                <w:color w:val="auto"/>
              </w:rPr>
            </w:pPr>
          </w:p>
        </w:tc>
        <w:tc>
          <w:tcPr>
            <w:tcW w:w="100" w:type="dxa"/>
            <w:vAlign w:val="bottom"/>
            <w:tcBorders>
              <w:top w:val="single" w:sz="8" w:color="CCEEFF"/>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840" w:type="dxa"/>
            <w:vAlign w:val="bottom"/>
            <w:tcBorders>
              <w:top w:val="single" w:sz="8" w:color="auto"/>
              <w:bottom w:val="single" w:sz="8" w:color="auto"/>
            </w:tcBorders>
          </w:tcPr>
          <w:p>
            <w:pPr>
              <w:spacing w:after="0"/>
              <w:rPr>
                <w:sz w:val="7"/>
                <w:szCs w:val="7"/>
                <w:color w:val="auto"/>
              </w:rPr>
            </w:pPr>
          </w:p>
        </w:tc>
        <w:tc>
          <w:tcPr>
            <w:tcW w:w="140" w:type="dxa"/>
            <w:vAlign w:val="bottom"/>
            <w:tcBorders>
              <w:top w:val="single" w:sz="8" w:color="CCEEFF"/>
              <w:bottom w:val="single" w:sz="8" w:color="auto"/>
            </w:tcBorders>
          </w:tcPr>
          <w:p>
            <w:pPr>
              <w:spacing w:after="0"/>
              <w:rPr>
                <w:sz w:val="7"/>
                <w:szCs w:val="7"/>
                <w:color w:val="auto"/>
              </w:rPr>
            </w:pPr>
          </w:p>
        </w:tc>
        <w:tc>
          <w:tcPr>
            <w:tcW w:w="80" w:type="dxa"/>
            <w:vAlign w:val="bottom"/>
            <w:tcBorders>
              <w:top w:val="single" w:sz="8" w:color="CCEEFF"/>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900" w:type="dxa"/>
            <w:vAlign w:val="bottom"/>
            <w:tcBorders>
              <w:top w:val="single" w:sz="8" w:color="auto"/>
              <w:bottom w:val="single" w:sz="8" w:color="auto"/>
            </w:tcBorders>
          </w:tcPr>
          <w:p>
            <w:pPr>
              <w:spacing w:after="0"/>
              <w:rPr>
                <w:sz w:val="7"/>
                <w:szCs w:val="7"/>
                <w:color w:val="auto"/>
              </w:rPr>
            </w:pPr>
          </w:p>
        </w:tc>
        <w:tc>
          <w:tcPr>
            <w:tcW w:w="140" w:type="dxa"/>
            <w:vAlign w:val="bottom"/>
            <w:tcBorders>
              <w:top w:val="single" w:sz="8" w:color="CCEEFF"/>
              <w:bottom w:val="single" w:sz="8" w:color="auto"/>
            </w:tcBorders>
          </w:tcPr>
          <w:p>
            <w:pPr>
              <w:spacing w:after="0"/>
              <w:rPr>
                <w:sz w:val="7"/>
                <w:szCs w:val="7"/>
                <w:color w:val="auto"/>
              </w:rPr>
            </w:pPr>
          </w:p>
        </w:tc>
        <w:tc>
          <w:tcPr>
            <w:tcW w:w="80" w:type="dxa"/>
            <w:vAlign w:val="bottom"/>
            <w:tcBorders>
              <w:top w:val="single" w:sz="8" w:color="CCEEFF"/>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82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CCEEFF"/>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right="140" w:hanging="330"/>
        <w:spacing w:after="0" w:line="227"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three- and twelve-month periods ended December 29, 2018 and December 30, 2017 were both comprised of 13 weeks and 52 weeks, respectively. The Company’s results for the three months ended December 29, 2018, include the results of Xcerra which was acquired on October 1, 2018 and results for the twelve months, include Cohu’s results for the twelve months ended December 29, 2018 and the results of Xcerra for only the three months ended December 29, 2018.</w:t>
      </w:r>
    </w:p>
    <w:p>
      <w:pPr>
        <w:ind w:left="500" w:right="780" w:hanging="330"/>
        <w:spacing w:after="0" w:line="221"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Cost of sales for the three- and twelve-month periods ended December 29, 2018 includes charges totaling $19.1 million related to restructuring activities and the decision to end manufacturing of certain of Xcerra’s semiconductor test handler products.</w:t>
      </w:r>
    </w:p>
    <w:p>
      <w:pPr>
        <w:ind w:left="500" w:right="80" w:hanging="330"/>
        <w:spacing w:after="0" w:line="221"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conjunction with the acquisition of Xcerra the Company assessed the need to realign its historical financial statement presentation and certain statement of operations classifications were reclassified to conform to current period presentation. The changes made were as follows:</w:t>
      </w:r>
    </w:p>
    <w:p>
      <w:pPr>
        <w:ind w:left="820" w:right="140" w:hanging="326"/>
        <w:spacing w:after="0" w:line="238" w:lineRule="auto"/>
        <w:tabs>
          <w:tab w:leader="none" w:pos="820" w:val="left"/>
        </w:tabs>
        <w:numPr>
          <w:ilvl w:val="1"/>
          <w:numId w:val="4"/>
        </w:numPr>
        <w:rPr>
          <w:rFonts w:ascii="Arial" w:cs="Arial" w:eastAsia="Arial" w:hAnsi="Arial"/>
          <w:sz w:val="13"/>
          <w:szCs w:val="13"/>
          <w:color w:val="auto"/>
        </w:rPr>
      </w:pPr>
      <w:r>
        <w:rPr>
          <w:rFonts w:ascii="Arial" w:cs="Arial" w:eastAsia="Arial" w:hAnsi="Arial"/>
          <w:sz w:val="13"/>
          <w:szCs w:val="13"/>
          <w:color w:val="auto"/>
        </w:rPr>
        <w:t>Amortization of intangibles previously were presented in cost of sales and SG&amp;A. These amounts are now presented as a separate line item “Amortization of purchased intangible assets” within operating expenses. Amounts associated with purchased intangible assets that previously would have been included in cost of sales are $11.6 million and $13.6 million for the three- and twelve-month periods ended December 29, 2018, respectively. Amounts previously presented in cost of sales that have been reclassified to conform with the Company’s revised presentation for the three- and twelve-month periods ended December 30, 2017 are $0.7 million and $2.7 million, respectively.</w:t>
      </w:r>
    </w:p>
    <w:p>
      <w:pPr>
        <w:spacing w:after="0" w:line="1" w:lineRule="exact"/>
        <w:rPr>
          <w:rFonts w:ascii="Arial" w:cs="Arial" w:eastAsia="Arial" w:hAnsi="Arial"/>
          <w:sz w:val="13"/>
          <w:szCs w:val="13"/>
          <w:color w:val="auto"/>
        </w:rPr>
      </w:pPr>
    </w:p>
    <w:p>
      <w:pPr>
        <w:ind w:left="820" w:right="260" w:hanging="326"/>
        <w:spacing w:after="0" w:line="221" w:lineRule="auto"/>
        <w:tabs>
          <w:tab w:leader="none" w:pos="820" w:val="left"/>
        </w:tabs>
        <w:numPr>
          <w:ilvl w:val="1"/>
          <w:numId w:val="4"/>
        </w:numPr>
        <w:rPr>
          <w:rFonts w:ascii="Arial" w:cs="Arial" w:eastAsia="Arial" w:hAnsi="Arial"/>
          <w:sz w:val="14"/>
          <w:szCs w:val="14"/>
          <w:color w:val="auto"/>
        </w:rPr>
      </w:pPr>
      <w:r>
        <w:rPr>
          <w:rFonts w:ascii="Arial" w:cs="Arial" w:eastAsia="Arial" w:hAnsi="Arial"/>
          <w:sz w:val="14"/>
          <w:szCs w:val="14"/>
          <w:color w:val="auto"/>
        </w:rPr>
        <w:t>Historically, gains and losses associated with foreign currency translation and remeasurement were included within SG&amp;A which resulted in fluctuations in expenses as foreign exchange rates change. These amounts will now be presented within foreign transaction gain (loss) and other as it will provide investors more insight into the Company’s operating expenses.</w:t>
      </w:r>
    </w:p>
    <w:p>
      <w:pPr>
        <w:ind w:left="500" w:hanging="330"/>
        <w:spacing w:after="0" w:line="221"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SG&amp;A expense for the three- and twelve-month periods ended December 29, 2018 include Xcerra transaction costs totaling $4.6 million and $9.8 million, respectively.</w:t>
      </w:r>
    </w:p>
    <w:p>
      <w:pPr>
        <w:jc w:val="both"/>
        <w:ind w:left="500" w:right="100" w:hanging="330"/>
        <w:spacing w:after="0" w:line="221"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On October 1, 2018, the Company made the decision to sell the fixtures business acquired from Xcerra, and, as a result, the operating results of the fixtures business have been presented as discontinued operations. All amounts presented in 2017 result from an adjustment to the fair value of a contingent consideration receivable recorded in conjunction with the sale of BMS in 2015.</w:t>
      </w:r>
    </w:p>
    <w:p>
      <w:pPr>
        <w:ind w:left="500" w:right="220" w:hanging="330"/>
        <w:spacing w:after="0" w:line="249" w:lineRule="auto"/>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 the three- and twelve-month periods ended December 29, 2018, potentially dilutive securities were excluded from the per share computations due to their antidilutive effect. 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December 30,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70"/>
              <w:spacing w:after="0" w:line="255" w:lineRule="exact"/>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7"/>
                <w:szCs w:val="27"/>
                <w:b w:val="1"/>
                <w:bCs w:val="1"/>
                <w:color w:val="auto"/>
                <w:vertAlign w:val="superscript"/>
              </w:rPr>
              <w:t>(1)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Current assets: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investments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165,020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149,276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139,314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27,888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assets of discontinued operations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485,239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 net</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74,332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242,127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318,961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assets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13,264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1,134,002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420,457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Deferred profit</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6,896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153,175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Current liabilities of discontinued operations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160,589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427,469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Cohu stockholders’ equity</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546,243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&amp; stockholders’ equity</w:t>
            </w:r>
          </w:p>
        </w:tc>
        <w:tc>
          <w:tcPr>
            <w:tcW w:w="23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1,134,002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420,457</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740" w:type="dxa"/>
            <w:vAlign w:val="bottom"/>
            <w:tcBorders>
              <w:top w:val="single" w:sz="8" w:color="CCEEFF"/>
              <w:bottom w:val="single" w:sz="8" w:color="auto"/>
            </w:tcBorders>
          </w:tcPr>
          <w:p>
            <w:pPr>
              <w:spacing w:after="0"/>
              <w:rPr>
                <w:sz w:val="3"/>
                <w:szCs w:val="3"/>
                <w:color w:val="auto"/>
              </w:rPr>
            </w:pPr>
          </w:p>
        </w:tc>
        <w:tc>
          <w:tcPr>
            <w:tcW w:w="2360" w:type="dxa"/>
            <w:vAlign w:val="bottom"/>
            <w:tcBorders>
              <w:top w:val="single" w:sz="8" w:color="CCEEFF"/>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Includes assets and liabilities acquired in the acquisition Xcerra that closed on October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Three Months Ended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December 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September 29,</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30,</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50"/>
              <w:spacing w:after="0" w:line="254"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27"/>
                <w:szCs w:val="27"/>
                <w:color w:val="auto"/>
                <w:vertAlign w:val="superscript"/>
              </w:rPr>
              <w:t>(1)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 GAAP basis (a)</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Non-GAAP adjustments: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included in (b):</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Cost of sales (COS)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 (R&amp;D)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Selling, general and administrative (SG&amp;A)</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3,799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Amortization of purchased intangible assets (c)</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14,080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charges related to inventory adjustments in COS (d)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Restructuring charges included in (d):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Restructuring charges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18,704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Manufacturing transition and severance costs included in (e):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contingent consideration included in SG&amp;A (f)</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Acquisition costs included in SG&amp;A (g)</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4,633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step-up included in COS (h)</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PP&amp;E step-up included in SG&amp;A (i)</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1,257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 of indemnification receivable included in SG&amp;A (j)</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Income from operations - non-GAAP basis (k)</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19,278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11,673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from continuing operations - GAAP basis</w:t>
            </w:r>
          </w:p>
        </w:tc>
        <w:tc>
          <w:tcPr>
            <w:tcW w:w="11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(57,116)</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4,803</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Non-GAAP adjustments (as scheduled above)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78,429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4,568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 of non-GAAP adjustments (l)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U.S. Tax Reform (m)</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 non-GAAP basis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060" w:type="dxa"/>
            <w:vAlign w:val="bottom"/>
          </w:tcPr>
          <w:p>
            <w:pPr>
              <w:spacing w:after="0" w:line="196" w:lineRule="exact"/>
              <w:rPr>
                <w:sz w:val="20"/>
                <w:szCs w:val="20"/>
                <w:color w:val="auto"/>
              </w:rPr>
            </w:pPr>
            <w:r>
              <w:rPr>
                <w:rFonts w:ascii="Arial" w:cs="Arial" w:eastAsia="Arial" w:hAnsi="Arial"/>
                <w:sz w:val="18"/>
                <w:szCs w:val="18"/>
                <w:color w:val="auto"/>
              </w:rPr>
              <w:t>GAAP income (loss) from continuing operations per share - diluted</w:t>
            </w:r>
          </w:p>
        </w:tc>
        <w:tc>
          <w:tcPr>
            <w:tcW w:w="11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0.16</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from continuing operations per share - diluted (n)</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operating results from Xcerra acquired on October 1, 2018</w:t>
      </w:r>
    </w:p>
    <w:p>
      <w:pPr>
        <w:spacing w:after="0" w:line="238" w:lineRule="auto"/>
        <w:rPr>
          <w:sz w:val="20"/>
          <w:szCs w:val="20"/>
          <w:color w:val="auto"/>
        </w:rPr>
      </w:pPr>
      <w:r>
        <w:rPr>
          <w:rFonts w:ascii="Arial" w:cs="Arial" w:eastAsia="Arial" w:hAnsi="Arial"/>
          <w:sz w:val="13"/>
          <w:szCs w:val="13"/>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anticipation of the completion of the merger with Xcerra. Restructuring costs have been excluded because such expense is not used by Management to assess the core profitability of Cohu’s business operations. Manufacturing transition costs relate principally to employee severance expenses incurred as a result of moving certain manufacturing activities to Asia as part of our ongoing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fair value adjustment to contingent consideration, adjustments for inventory step-up costs have been excluded by management as they are unrelated to the core operating activities of the Company and the frequency and variability in the nature of the charges can vary significantly from period to period. Management believes the reduction of an uncertain tax position liability and related indemnification receivable is better reflected within income tax expense rather than a charge to SG&amp;A and credit to the income tax provision.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ind w:left="360" w:hanging="230"/>
        <w:spacing w:after="0" w:line="228"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-34.7%, 8.2% and 5.9% of net sales, respectively.</w:t>
      </w:r>
    </w:p>
    <w:p>
      <w:pPr>
        <w:ind w:left="360" w:hanging="230"/>
        <w:spacing w:after="0" w:line="221"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compensation expense for employee stock options, stock units and our employee stock purchase plan.</w:t>
      </w:r>
    </w:p>
    <w:p>
      <w:pPr>
        <w:ind w:left="360" w:hanging="230"/>
        <w:spacing w:after="0" w:line="221"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amortization of acquired intangible assets.</w:t>
      </w:r>
    </w:p>
    <w:p>
      <w:pPr>
        <w:ind w:left="360" w:hanging="230"/>
        <w:spacing w:after="0" w:line="221"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restructuring costs incurred during fourth quarter of 2018 related to the acquisition of Xcerra.</w:t>
      </w:r>
    </w:p>
    <w:p>
      <w:pPr>
        <w:ind w:left="360" w:hanging="230"/>
        <w:spacing w:after="0" w:line="221"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manufacturing transition and severance costs.</w:t>
      </w:r>
    </w:p>
    <w:p>
      <w:pPr>
        <w:ind w:left="360" w:hanging="230"/>
        <w:spacing w:after="0" w:line="221"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fair value adjustment to contingent consideration related to the acquisition of Kita.</w:t>
      </w:r>
    </w:p>
    <w:p>
      <w:pPr>
        <w:ind w:left="360" w:hanging="230"/>
        <w:spacing w:after="0" w:line="221"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professional fees and other direct incremental expenses incurred related to acquisitions.</w:t>
      </w:r>
    </w:p>
    <w:p>
      <w:pPr>
        <w:ind w:left="360" w:hanging="230"/>
        <w:spacing w:after="0" w:line="221"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inventory step-up costs incurred related to the acquisition of Xcerra.</w:t>
      </w:r>
    </w:p>
    <w:p>
      <w:pPr>
        <w:ind w:left="360" w:hanging="230"/>
        <w:spacing w:after="0" w:line="221"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accelerated depreciation from the property, plant &amp; equipment step-up related to the acquisition of Xcerra.</w:t>
      </w:r>
    </w:p>
    <w:p>
      <w:pPr>
        <w:ind w:left="360" w:hanging="230"/>
        <w:spacing w:after="0" w:line="221"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impact of the reduction of an uncertain tax position liability and related indemnification receivable.</w:t>
      </w:r>
    </w:p>
    <w:p>
      <w:pPr>
        <w:ind w:left="360" w:hanging="230"/>
        <w:spacing w:after="0" w:line="221"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11.3%, 13.5% and 11.5% of net sales, respectively.</w:t>
      </w:r>
    </w:p>
    <w:p>
      <w:pPr>
        <w:ind w:left="360" w:hanging="230"/>
        <w:spacing w:after="0" w:line="221"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adjust the provision for income taxes related to the adjustments described above based on applicable tax rates.</w:t>
      </w:r>
    </w:p>
    <w:p>
      <w:pPr>
        <w:ind w:left="360" w:right="40" w:hanging="230"/>
        <w:spacing w:after="0" w:line="221"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impact of the adoption of the Tax Cuts and Jobs Act enacted on December 22, 2017 (U.S. Tax Reform), and includes provisional estimates of (i) the one-time transition tax, net of foreign tax credits and operating losses, on earnings of foreign subsidiaries that were previously deferred from U.S. tax; (ii) the impact of U.S. tax rate reduction and changes to net operating loss rules on our net deferred taxes and (iii) the accrual of foreign taxes in the event certain funds are repatriated to the U.S.</w:t>
      </w:r>
    </w:p>
    <w:p>
      <w:pPr>
        <w:ind w:left="360" w:right="280" w:hanging="230"/>
        <w:spacing w:after="0" w:line="232"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three months ended December 29, 2018 was computed using 41,241 shares outstanding as the effect of dilutive securities was excluded from GAAP diluted common shares due to the reported net loss under GAAP, but are included for non-GAAP diluted common shares since the Company has non-GAAP net income. All other periods presented were computed using number of GAAP diluted shares outstanding for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jc w:val="right"/>
              <w:ind w:right="660"/>
              <w:spacing w:after="0"/>
              <w:rPr>
                <w:sz w:val="20"/>
                <w:szCs w:val="20"/>
                <w:color w:val="auto"/>
              </w:rPr>
            </w:pPr>
            <w:r>
              <w:rPr>
                <w:rFonts w:ascii="Arial" w:cs="Arial" w:eastAsia="Arial" w:hAnsi="Arial"/>
                <w:sz w:val="18"/>
                <w:szCs w:val="18"/>
                <w:color w:val="auto"/>
              </w:rPr>
              <w:t>Twelve Months Ended</w:t>
            </w:r>
          </w:p>
        </w:tc>
      </w:tr>
      <w:tr>
        <w:trPr>
          <w:trHeight w:val="220"/>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December 29,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30,</w:t>
            </w:r>
          </w:p>
        </w:tc>
      </w:tr>
      <w:tr>
        <w:trPr>
          <w:trHeight w:val="254"/>
        </w:trPr>
        <w:tc>
          <w:tcPr>
            <w:tcW w:w="2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70"/>
              <w:spacing w:after="0" w:line="254"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27"/>
                <w:szCs w:val="27"/>
                <w:color w:val="auto"/>
                <w:vertAlign w:val="superscript"/>
              </w:rPr>
              <w:t>(1)</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 GAAP basis (a)</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(29,781)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37,725</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Non-GAAP adjustments: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included in (b):</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Cost of sales (COS)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 (R&amp;D)</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w:t>
            </w:r>
          </w:p>
        </w:tc>
      </w:tr>
      <w:tr>
        <w:trPr>
          <w:trHeight w:val="216"/>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Selling, general and administrative (SG&amp;A)</w:t>
            </w:r>
          </w:p>
        </w:tc>
        <w:tc>
          <w:tcPr>
            <w:tcW w:w="1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7,007</w:t>
            </w: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Amortization of purchased intangible assets (c)</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17,197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4,208</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charges related to inventory adjustments in COS (d)</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Restructuring charges included in (d):</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Restructuring charges</w:t>
            </w:r>
          </w:p>
        </w:tc>
        <w:tc>
          <w:tcPr>
            <w:tcW w:w="1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18,704</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19,084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Manufacturing transition and severance costs included in (e):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SG&amp;A</w:t>
            </w:r>
          </w:p>
        </w:tc>
        <w:tc>
          <w:tcPr>
            <w:tcW w:w="1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contingent consideration included in SG&amp;A (f)</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w:t>
            </w: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Acquisition costs included in SG&amp;A (g)</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9,811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step-up included in COS (h)</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PP&amp;E step-up included in SG&amp;A (i)</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Reduction of indemnification receivable included in SG&amp;A (j)</w:t>
            </w:r>
          </w:p>
        </w:tc>
        <w:tc>
          <w:tcPr>
            <w:tcW w:w="1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8"/>
                <w:szCs w:val="18"/>
                <w:color w:val="auto"/>
              </w:rPr>
              <w:t>Income from operations - non-GAAP basis (k)</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63,587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53,811</w:t>
            </w: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from continuing operations - GAAP basis</w:t>
            </w:r>
          </w:p>
        </w:tc>
        <w:tc>
          <w:tcPr>
            <w:tcW w:w="1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(32,543)</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33,121</w:t>
            </w: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Non-GAAP adjustments (as scheduled above)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93,368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16,086</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 of non-GAAP adjustments (l)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(12,481)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(2,776)</w:t>
            </w: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U.S. Tax Reform (m)</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(2,022)</w:t>
            </w:r>
          </w:p>
        </w:tc>
      </w:tr>
      <w:tr>
        <w:trPr>
          <w:trHeight w:val="250"/>
        </w:trPr>
        <w:tc>
          <w:tcPr>
            <w:tcW w:w="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 non-GAAP basis</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48,344</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740" w:type="dxa"/>
            <w:vAlign w:val="bottom"/>
          </w:tcPr>
          <w:p>
            <w:pPr>
              <w:spacing w:after="0" w:line="196" w:lineRule="exact"/>
              <w:rPr>
                <w:sz w:val="20"/>
                <w:szCs w:val="20"/>
                <w:color w:val="auto"/>
              </w:rPr>
            </w:pPr>
            <w:r>
              <w:rPr>
                <w:rFonts w:ascii="Arial" w:cs="Arial" w:eastAsia="Arial" w:hAnsi="Arial"/>
                <w:sz w:val="18"/>
                <w:szCs w:val="18"/>
                <w:color w:val="auto"/>
              </w:rPr>
              <w:t>GAAP income (loss) per share from continuing operations - diluted</w:t>
            </w:r>
          </w:p>
        </w:tc>
        <w:tc>
          <w:tcPr>
            <w:tcW w:w="1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(1.02)</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share - diluted (n)</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108"/>
        </w:trPr>
        <w:tc>
          <w:tcPr>
            <w:tcW w:w="20" w:type="dxa"/>
            <w:vAlign w:val="bottom"/>
          </w:tcPr>
          <w:p>
            <w:pPr>
              <w:spacing w:after="0"/>
              <w:rPr>
                <w:sz w:val="9"/>
                <w:szCs w:val="9"/>
                <w:color w:val="auto"/>
              </w:rPr>
            </w:pPr>
          </w:p>
        </w:tc>
        <w:tc>
          <w:tcPr>
            <w:tcW w:w="674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pacing w:after="0" w:line="8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operating results from Xcerra acquired on October 1, 2018</w:t>
      </w:r>
    </w:p>
    <w:p>
      <w:pPr>
        <w:ind w:right="60"/>
        <w:spacing w:after="0" w:line="238" w:lineRule="auto"/>
        <w:rPr>
          <w:sz w:val="20"/>
          <w:szCs w:val="20"/>
          <w:color w:val="auto"/>
        </w:rPr>
      </w:pPr>
      <w:r>
        <w:rPr>
          <w:rFonts w:ascii="Arial" w:cs="Arial" w:eastAsia="Arial" w:hAnsi="Arial"/>
          <w:sz w:val="13"/>
          <w:szCs w:val="13"/>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has initiated certain restructuring activities including employee headcount reductions and other organizational changes to align our business strategies in anticipation of the completion of the merger with Xcerra. Restructuring costs have been excluded because such expense is not used by Management to assess the core profitability of Cohu’s business operations. Manufacturing transition costs relate principally to employee severance expenses incurred as a result of moving certain manufacturing activities to Asia as part of our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fair value adjustment to contingent consideration, adjustments for favorable and unfavorable leases and inventory step-up costs have been excluded by management as they are unrelated to the core operating activities of the Company and the frequency and variability in the nature of the charges can vary significantly from period to period. Management believes the reduction of an uncertain tax position liability and related indemnification receivable is better reflected within income tax expense rather than a charge to SG&amp;A and credit to the income tax provision. Excluding the impact of U.S. Tax Reform provides better comparability to our historical and future tax provisions.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ind w:left="360" w:hanging="230"/>
        <w:spacing w:after="0" w:line="229"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-6.6% and 10.7% of net sales, respectively.</w:t>
      </w:r>
    </w:p>
    <w:p>
      <w:pPr>
        <w:ind w:left="360" w:hanging="230"/>
        <w:spacing w:after="0" w:line="22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compensation expense for employee stock options, stock units and our employee stock purchase plan.</w:t>
      </w:r>
    </w:p>
    <w:p>
      <w:pPr>
        <w:ind w:left="360" w:hanging="230"/>
        <w:spacing w:after="0" w:line="22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the amortization of acquired intangible assets.</w:t>
      </w:r>
    </w:p>
    <w:p>
      <w:pPr>
        <w:ind w:left="360" w:hanging="230"/>
        <w:spacing w:after="0" w:line="22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restructuring costs incurred during fourth quarter of 2018 related to the acquisition of Xcerra.</w:t>
      </w:r>
    </w:p>
    <w:p>
      <w:pPr>
        <w:ind w:left="360" w:hanging="230"/>
        <w:spacing w:after="0" w:line="22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manufacturing transition costs.</w:t>
      </w:r>
    </w:p>
    <w:p>
      <w:pPr>
        <w:ind w:left="360" w:hanging="230"/>
        <w:spacing w:after="0" w:line="22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fair value adjustment to contingent consideration related to the acquisition of Kita.</w:t>
      </w:r>
    </w:p>
    <w:p>
      <w:pPr>
        <w:ind w:left="360" w:hanging="230"/>
        <w:spacing w:after="0" w:line="22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professional fees and other direct incremental expenses incurred related to the acquisitions.</w:t>
      </w:r>
    </w:p>
    <w:p>
      <w:pPr>
        <w:ind w:left="360" w:hanging="230"/>
        <w:spacing w:after="0" w:line="22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the inventory step-up costs incurred related to acquisitions.</w:t>
      </w:r>
    </w:p>
    <w:p>
      <w:pPr>
        <w:ind w:left="360" w:hanging="230"/>
        <w:spacing w:after="0" w:line="22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the property, plant &amp; equipment step-up depreciation accelerated related to the acquisition of Xcerra.</w:t>
      </w:r>
    </w:p>
    <w:p>
      <w:pPr>
        <w:ind w:left="360" w:hanging="230"/>
        <w:spacing w:after="0" w:line="22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the impact of the reduction of an uncertain tax position liability and related indemnification receivable.</w:t>
      </w:r>
    </w:p>
    <w:p>
      <w:pPr>
        <w:ind w:left="360" w:hanging="230"/>
        <w:spacing w:after="0" w:line="22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14.1% and 15.3% of net sales, respectively.</w:t>
      </w:r>
    </w:p>
    <w:p>
      <w:pPr>
        <w:ind w:left="360" w:hanging="230"/>
        <w:spacing w:after="0" w:line="22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adjust the provision for income taxes related to the adjustments described above based on applicable tax rates.</w:t>
      </w:r>
    </w:p>
    <w:p>
      <w:pPr>
        <w:ind w:left="360" w:right="40" w:hanging="230"/>
        <w:spacing w:after="0" w:line="22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eliminate impact of the adoption of the Tax Cuts and Jobs Act enacted on December 22, 2017 (U.S. Tax Reform), and includes provisional estimates of (i) the one-time transition tax, net of foreign tax credits and operating losses, on earnings of foreign subsidiaries that were previously deferred from U.S. tax; (ii) the impact of U.S. tax rate reduction and changes to net operating loss rules on our net deferred taxes and (iii) the accrual of foreign taxes in the event certain funds are repatriated to the U.S.</w:t>
      </w:r>
    </w:p>
    <w:p>
      <w:pPr>
        <w:jc w:val="both"/>
        <w:ind w:left="360" w:right="60" w:hanging="230"/>
        <w:spacing w:after="0" w:line="232"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year ended December 29, 2018 was computed using 32,548 shares outstanding as the effect of dilutive securities was excluded from GAAP diluted common shares due to the reported net loss under GAAP, but are included for non-GAAP diluted common shares since the Company has non-GAAP net income. All other periods presented were computed using number of GAAP diluted shares outstanding for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90"/>
              <w:spacing w:after="0"/>
              <w:rPr>
                <w:sz w:val="20"/>
                <w:szCs w:val="20"/>
                <w:color w:val="auto"/>
              </w:rPr>
            </w:pPr>
            <w:r>
              <w:rPr>
                <w:rFonts w:ascii="Arial" w:cs="Arial" w:eastAsia="Arial" w:hAnsi="Arial"/>
                <w:sz w:val="18"/>
                <w:szCs w:val="18"/>
                <w:color w:val="auto"/>
                <w:w w:val="88"/>
              </w:rPr>
              <w:t>December 29,</w:t>
            </w:r>
          </w:p>
        </w:tc>
        <w:tc>
          <w:tcPr>
            <w:tcW w:w="10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September 29,</w:t>
            </w:r>
          </w:p>
        </w:tc>
        <w:tc>
          <w:tcPr>
            <w:tcW w:w="1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December 30,</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0"/>
              <w:spacing w:after="0" w:line="254"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27"/>
                <w:szCs w:val="27"/>
                <w:color w:val="auto"/>
                <w:vertAlign w:val="superscript"/>
              </w:rPr>
              <w:t>(1)</w:t>
            </w:r>
          </w:p>
        </w:tc>
        <w:tc>
          <w:tcPr>
            <w:tcW w:w="2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2018</w:t>
            </w: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tcPr>
          <w:p>
            <w:pPr>
              <w:ind w:left="160"/>
              <w:spacing w:after="0" w:line="242" w:lineRule="exact"/>
              <w:rPr>
                <w:sz w:val="20"/>
                <w:szCs w:val="20"/>
                <w:color w:val="auto"/>
              </w:rPr>
            </w:pPr>
            <w:r>
              <w:rPr>
                <w:rFonts w:ascii="Arial" w:cs="Arial" w:eastAsia="Arial" w:hAnsi="Arial"/>
                <w:sz w:val="18"/>
                <w:szCs w:val="18"/>
                <w:color w:val="auto"/>
              </w:rPr>
              <w:t>Gross profit - GAAP basis (excluding amortization)</w:t>
            </w:r>
            <w:r>
              <w:rPr>
                <w:rFonts w:ascii="Arial" w:cs="Arial" w:eastAsia="Arial" w:hAnsi="Arial"/>
                <w:sz w:val="27"/>
                <w:szCs w:val="27"/>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41,919</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34,378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35,097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Non-GAAP adjustments to cost of sales (as scheduled above)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33,973</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Gross profit - Non-GAAP basis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75,892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34,503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35,193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Non-GAAP profit as a percentage of net sales</w:t>
            </w:r>
          </w:p>
        </w:tc>
        <w:tc>
          <w:tcPr>
            <w:tcW w:w="100" w:type="dxa"/>
            <w:vAlign w:val="bottom"/>
            <w:shd w:val="clear" w:color="auto" w:fill="CCEEFF"/>
          </w:tcPr>
          <w:p>
            <w:pPr>
              <w:spacing w:after="0"/>
              <w:rPr>
                <w:sz w:val="17"/>
                <w:szCs w:val="17"/>
                <w:color w:val="auto"/>
              </w:rPr>
            </w:pPr>
          </w:p>
        </w:tc>
        <w:tc>
          <w:tcPr>
            <w:tcW w:w="1400" w:type="dxa"/>
            <w:vAlign w:val="bottom"/>
            <w:tcBorders>
              <w:right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7"/>
                <w:szCs w:val="17"/>
                <w:color w:val="auto"/>
              </w:rPr>
            </w:pPr>
          </w:p>
        </w:tc>
        <w:tc>
          <w:tcPr>
            <w:tcW w:w="142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Net income (loss) attributable to Cohu - GAAP Basis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(56,754)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4,803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non-GAAP adjustments (as scheduled above)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63,092</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23,394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12,725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Adjusted EBITDA as a percentage of net sales</w:t>
            </w:r>
          </w:p>
        </w:tc>
        <w:tc>
          <w:tcPr>
            <w:tcW w:w="100" w:type="dxa"/>
            <w:vAlign w:val="bottom"/>
            <w:shd w:val="clear" w:color="auto" w:fill="CCEEFF"/>
          </w:tcPr>
          <w:p>
            <w:pPr>
              <w:spacing w:after="0"/>
              <w:rPr>
                <w:sz w:val="17"/>
                <w:szCs w:val="17"/>
                <w:color w:val="auto"/>
              </w:rPr>
            </w:pPr>
          </w:p>
        </w:tc>
        <w:tc>
          <w:tcPr>
            <w:tcW w:w="1400" w:type="dxa"/>
            <w:vAlign w:val="bottom"/>
            <w:tcBorders>
              <w:right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7"/>
                <w:szCs w:val="17"/>
                <w:color w:val="auto"/>
              </w:rPr>
            </w:pPr>
          </w:p>
        </w:tc>
        <w:tc>
          <w:tcPr>
            <w:tcW w:w="142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Operating Expense - GAAP basis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101,070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Non-GAAP adjustments to operating expenses (as scheduled above)</w:t>
            </w: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(44,456)</w:t>
            </w: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Operating Expenses - Non-GAAP basis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56,614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23,568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6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254"/>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operating results from Xcerra acquired on October 1, 2018</w:t>
      </w:r>
    </w:p>
    <w:p>
      <w:pPr>
        <w:ind w:left="340" w:right="180" w:hanging="254"/>
        <w:spacing w:after="0" w:line="237"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amortization of $11,626 for the three months ending December 29, 2018, $644 for the three months ending September 29, 2018 and $674 for the three months ended December 30, 2017</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5"/>
          </w:tcPr>
          <w:p>
            <w:pPr>
              <w:jc w:val="right"/>
              <w:ind w:right="720"/>
              <w:spacing w:after="0"/>
              <w:rPr>
                <w:sz w:val="20"/>
                <w:szCs w:val="20"/>
                <w:color w:val="auto"/>
              </w:rPr>
            </w:pPr>
            <w:r>
              <w:rPr>
                <w:rFonts w:ascii="Arial" w:cs="Arial" w:eastAsia="Arial" w:hAnsi="Arial"/>
                <w:sz w:val="18"/>
                <w:szCs w:val="18"/>
                <w:color w:val="auto"/>
              </w:rPr>
              <w:t>Twelve Months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December 29,</w:t>
            </w:r>
          </w:p>
        </w:tc>
        <w:tc>
          <w:tcPr>
            <w:tcW w:w="1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December 30,</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4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line="254"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27"/>
                <w:szCs w:val="27"/>
                <w:color w:val="auto"/>
                <w:vertAlign w:val="superscript"/>
              </w:rPr>
              <w:t>(1)</w:t>
            </w: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tcPr>
          <w:p>
            <w:pPr>
              <w:ind w:left="160"/>
              <w:spacing w:after="0" w:line="242" w:lineRule="exact"/>
              <w:rPr>
                <w:sz w:val="20"/>
                <w:szCs w:val="20"/>
                <w:color w:val="auto"/>
              </w:rPr>
            </w:pPr>
            <w:r>
              <w:rPr>
                <w:rFonts w:ascii="Arial" w:cs="Arial" w:eastAsia="Arial" w:hAnsi="Arial"/>
                <w:sz w:val="18"/>
                <w:szCs w:val="18"/>
                <w:color w:val="auto"/>
              </w:rPr>
              <w:t>Gross profit - GAAP basis (excluding amortization)</w:t>
            </w:r>
            <w:r>
              <w:rPr>
                <w:rFonts w:ascii="Arial" w:cs="Arial" w:eastAsia="Arial" w:hAnsi="Arial"/>
                <w:sz w:val="27"/>
                <w:szCs w:val="27"/>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159,308</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Non-GAAP adjustments to cost of sales (as scheduled above)</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34,381</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Gross profit - Non-GAAP basis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193,689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145,234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Non-GAAP profit as a percentage of net sales</w:t>
            </w:r>
          </w:p>
        </w:tc>
        <w:tc>
          <w:tcPr>
            <w:tcW w:w="100" w:type="dxa"/>
            <w:vAlign w:val="bottom"/>
            <w:shd w:val="clear" w:color="auto" w:fill="CCEEFF"/>
          </w:tcPr>
          <w:p>
            <w:pPr>
              <w:spacing w:after="0"/>
              <w:rPr>
                <w:sz w:val="17"/>
                <w:szCs w:val="17"/>
                <w:color w:val="auto"/>
              </w:rPr>
            </w:pPr>
          </w:p>
        </w:tc>
        <w:tc>
          <w:tcPr>
            <w:tcW w:w="142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Net income (loss) attributable to Cohu - GAAP Basis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(32,181)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17,197</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non-GAAP adjustments (as scheduled above)</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76,171</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74,339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55,812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Adjusted EBITDA as a percentage of net sales</w:t>
            </w:r>
          </w:p>
        </w:tc>
        <w:tc>
          <w:tcPr>
            <w:tcW w:w="100" w:type="dxa"/>
            <w:vAlign w:val="bottom"/>
            <w:shd w:val="clear" w:color="auto" w:fill="CCEEFF"/>
          </w:tcPr>
          <w:p>
            <w:pPr>
              <w:spacing w:after="0"/>
              <w:rPr>
                <w:sz w:val="17"/>
                <w:szCs w:val="17"/>
                <w:color w:val="auto"/>
              </w:rPr>
            </w:pPr>
          </w:p>
        </w:tc>
        <w:tc>
          <w:tcPr>
            <w:tcW w:w="142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Operating Expense - GAAP basis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189,089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Non-GAAP adjustments to operating expenses (as scheduled above)</w:t>
            </w: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(58,987)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Operating Expenses - Non-GAAP basis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130,102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91,423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254"/>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operating results from Xcerra acquired on October 1, 2018</w:t>
      </w:r>
    </w:p>
    <w:p>
      <w:pPr>
        <w:ind w:left="340" w:hanging="254"/>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amortization of $13,586 for the twelve months ending December 29, 2018 and $2,689 for the twelve months ended December 30,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lvl w:ilvl="1">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2019-12-28T14:30:11Z</dcterms:created>
  <dcterms:modified xsi:type="dcterms:W3CDTF">2019-12-28T14:30:11Z</dcterms:modified>
</cp:coreProperties>
</file>