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1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December 11, 2018</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304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840" w:type="dxa"/>
            <w:vAlign w:val="bottom"/>
          </w:tcPr>
          <w:p>
            <w:pPr>
              <w:jc w:val="right"/>
              <w:ind w:right="2130"/>
              <w:spacing w:after="0"/>
              <w:rPr>
                <w:sz w:val="20"/>
                <w:szCs w:val="20"/>
                <w:color w:val="auto"/>
              </w:rPr>
            </w:pPr>
            <w:r>
              <w:rPr>
                <w:rFonts w:ascii="Arial" w:cs="Arial" w:eastAsia="Arial" w:hAnsi="Arial"/>
                <w:sz w:val="18"/>
                <w:szCs w:val="18"/>
                <w:color w:val="auto"/>
              </w:rPr>
              <w:t>001-04298</w:t>
            </w:r>
          </w:p>
        </w:tc>
        <w:tc>
          <w:tcPr>
            <w:tcW w:w="1820" w:type="dxa"/>
            <w:vAlign w:val="bottom"/>
          </w:tcPr>
          <w:p>
            <w:pPr>
              <w:jc w:val="center"/>
              <w:ind w:left="390"/>
              <w:spacing w:after="0"/>
              <w:rPr>
                <w:sz w:val="20"/>
                <w:szCs w:val="20"/>
                <w:color w:val="auto"/>
              </w:rPr>
            </w:pPr>
            <w:r>
              <w:rPr>
                <w:rFonts w:ascii="Arial" w:cs="Arial" w:eastAsia="Arial" w:hAnsi="Arial"/>
                <w:sz w:val="18"/>
                <w:szCs w:val="18"/>
                <w:color w:val="auto"/>
                <w:w w:val="89"/>
              </w:rPr>
              <w:t>95-1934119</w:t>
            </w:r>
          </w:p>
        </w:tc>
      </w:tr>
      <w:tr>
        <w:trPr>
          <w:trHeight w:val="216"/>
        </w:trPr>
        <w:tc>
          <w:tcPr>
            <w:tcW w:w="3040" w:type="dxa"/>
            <w:vAlign w:val="bottom"/>
          </w:tcPr>
          <w:p>
            <w:pPr>
              <w:jc w:val="right"/>
              <w:ind w:right="510"/>
              <w:spacing w:after="0"/>
              <w:rPr>
                <w:sz w:val="20"/>
                <w:szCs w:val="20"/>
                <w:color w:val="auto"/>
              </w:rPr>
            </w:pPr>
            <w:r>
              <w:rPr>
                <w:rFonts w:ascii="Arial" w:cs="Arial" w:eastAsia="Arial" w:hAnsi="Arial"/>
                <w:sz w:val="18"/>
                <w:szCs w:val="18"/>
                <w:color w:val="auto"/>
              </w:rPr>
              <w:t>_____________________</w:t>
            </w:r>
          </w:p>
        </w:tc>
        <w:tc>
          <w:tcPr>
            <w:tcW w:w="4840" w:type="dxa"/>
            <w:vAlign w:val="bottom"/>
          </w:tcPr>
          <w:p>
            <w:pPr>
              <w:jc w:val="right"/>
              <w:ind w:right="1950"/>
              <w:spacing w:after="0"/>
              <w:rPr>
                <w:sz w:val="20"/>
                <w:szCs w:val="20"/>
                <w:color w:val="auto"/>
              </w:rPr>
            </w:pPr>
            <w:r>
              <w:rPr>
                <w:rFonts w:ascii="Arial" w:cs="Arial" w:eastAsia="Arial" w:hAnsi="Arial"/>
                <w:sz w:val="18"/>
                <w:szCs w:val="18"/>
                <w:color w:val="auto"/>
              </w:rPr>
              <w:t>_____________</w:t>
            </w:r>
          </w:p>
        </w:tc>
        <w:tc>
          <w:tcPr>
            <w:tcW w:w="1820" w:type="dxa"/>
            <w:vAlign w:val="bottom"/>
          </w:tcPr>
          <w:p>
            <w:pPr>
              <w:jc w:val="center"/>
              <w:ind w:left="390"/>
              <w:spacing w:after="0"/>
              <w:rPr>
                <w:sz w:val="20"/>
                <w:szCs w:val="20"/>
                <w:color w:val="auto"/>
              </w:rPr>
            </w:pPr>
            <w:r>
              <w:rPr>
                <w:rFonts w:ascii="Arial" w:cs="Arial" w:eastAsia="Arial" w:hAnsi="Arial"/>
                <w:sz w:val="18"/>
                <w:szCs w:val="18"/>
                <w:color w:val="auto"/>
                <w:w w:val="89"/>
              </w:rPr>
              <w:t>______________</w:t>
            </w:r>
          </w:p>
        </w:tc>
      </w:tr>
      <w:tr>
        <w:trPr>
          <w:trHeight w:val="216"/>
        </w:trPr>
        <w:tc>
          <w:tcPr>
            <w:tcW w:w="30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4840" w:type="dxa"/>
            <w:vAlign w:val="bottom"/>
          </w:tcPr>
          <w:p>
            <w:pPr>
              <w:jc w:val="center"/>
              <w:ind w:right="310"/>
              <w:spacing w:after="0"/>
              <w:rPr>
                <w:sz w:val="20"/>
                <w:szCs w:val="20"/>
                <w:color w:val="auto"/>
              </w:rPr>
            </w:pPr>
            <w:r>
              <w:rPr>
                <w:rFonts w:ascii="Arial" w:cs="Arial" w:eastAsia="Arial" w:hAnsi="Arial"/>
                <w:sz w:val="18"/>
                <w:szCs w:val="18"/>
                <w:color w:val="auto"/>
                <w:w w:val="91"/>
              </w:rPr>
              <w:t>(Commission</w:t>
            </w:r>
          </w:p>
        </w:tc>
        <w:tc>
          <w:tcPr>
            <w:tcW w:w="1820" w:type="dxa"/>
            <w:vAlign w:val="bottom"/>
          </w:tcPr>
          <w:p>
            <w:pPr>
              <w:jc w:val="center"/>
              <w:ind w:left="370"/>
              <w:spacing w:after="0"/>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4840" w:type="dxa"/>
            <w:vAlign w:val="bottom"/>
          </w:tcPr>
          <w:p>
            <w:pPr>
              <w:jc w:val="center"/>
              <w:ind w:right="310"/>
              <w:spacing w:after="0"/>
              <w:rPr>
                <w:sz w:val="20"/>
                <w:szCs w:val="20"/>
                <w:color w:val="auto"/>
              </w:rPr>
            </w:pPr>
            <w:r>
              <w:rPr>
                <w:rFonts w:ascii="Arial" w:cs="Arial" w:eastAsia="Arial" w:hAnsi="Arial"/>
                <w:sz w:val="18"/>
                <w:szCs w:val="18"/>
                <w:color w:val="auto"/>
                <w:w w:val="92"/>
              </w:rPr>
              <w:t>File Number)</w:t>
            </w:r>
          </w:p>
        </w:tc>
        <w:tc>
          <w:tcPr>
            <w:tcW w:w="1820" w:type="dxa"/>
            <w:vAlign w:val="bottom"/>
          </w:tcPr>
          <w:p>
            <w:pPr>
              <w:jc w:val="center"/>
              <w:ind w:left="3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040" w:type="dxa"/>
            <w:vAlign w:val="bottom"/>
          </w:tcPr>
          <w:p>
            <w:pPr>
              <w:jc w:val="center"/>
              <w:spacing w:after="0"/>
              <w:rPr>
                <w:sz w:val="20"/>
                <w:szCs w:val="20"/>
                <w:color w:val="auto"/>
              </w:rPr>
            </w:pPr>
            <w:r>
              <w:rPr>
                <w:rFonts w:ascii="Arial" w:cs="Arial" w:eastAsia="Arial" w:hAnsi="Arial"/>
                <w:sz w:val="18"/>
                <w:szCs w:val="18"/>
                <w:color w:val="auto"/>
                <w:w w:val="91"/>
              </w:rPr>
              <w:t>12367 Crosthwaite Circle, Poway,</w:t>
            </w:r>
          </w:p>
        </w:tc>
        <w:tc>
          <w:tcPr>
            <w:tcW w:w="4840" w:type="dxa"/>
            <w:vAlign w:val="bottom"/>
          </w:tcPr>
          <w:p>
            <w:pPr>
              <w:spacing w:after="0"/>
              <w:rPr>
                <w:sz w:val="24"/>
                <w:szCs w:val="24"/>
                <w:color w:val="auto"/>
              </w:rPr>
            </w:pPr>
          </w:p>
        </w:tc>
        <w:tc>
          <w:tcPr>
            <w:tcW w:w="1820" w:type="dxa"/>
            <w:vAlign w:val="bottom"/>
          </w:tcPr>
          <w:p>
            <w:pPr>
              <w:jc w:val="center"/>
              <w:ind w:left="370"/>
              <w:spacing w:after="0"/>
              <w:rPr>
                <w:sz w:val="20"/>
                <w:szCs w:val="20"/>
                <w:color w:val="auto"/>
              </w:rPr>
            </w:pPr>
            <w:r>
              <w:rPr>
                <w:rFonts w:ascii="Arial" w:cs="Arial" w:eastAsia="Arial" w:hAnsi="Arial"/>
                <w:sz w:val="18"/>
                <w:szCs w:val="18"/>
                <w:color w:val="auto"/>
                <w:w w:val="87"/>
              </w:rPr>
              <w:t>92064</w:t>
            </w:r>
          </w:p>
        </w:tc>
      </w:tr>
      <w:tr>
        <w:trPr>
          <w:trHeight w:val="216"/>
        </w:trPr>
        <w:tc>
          <w:tcPr>
            <w:tcW w:w="3040" w:type="dxa"/>
            <w:vAlign w:val="bottom"/>
          </w:tcPr>
          <w:p>
            <w:pPr>
              <w:jc w:val="center"/>
              <w:spacing w:after="0"/>
              <w:rPr>
                <w:sz w:val="20"/>
                <w:szCs w:val="20"/>
                <w:color w:val="auto"/>
              </w:rPr>
            </w:pPr>
            <w:r>
              <w:rPr>
                <w:rFonts w:ascii="Arial" w:cs="Arial" w:eastAsia="Arial" w:hAnsi="Arial"/>
                <w:sz w:val="18"/>
                <w:szCs w:val="18"/>
                <w:color w:val="auto"/>
                <w:w w:val="97"/>
              </w:rPr>
              <w:t>California</w:t>
            </w:r>
          </w:p>
        </w:tc>
        <w:tc>
          <w:tcPr>
            <w:tcW w:w="48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040" w:type="dxa"/>
            <w:vAlign w:val="bottom"/>
          </w:tcPr>
          <w:p>
            <w:pPr>
              <w:jc w:val="right"/>
              <w:spacing w:after="0"/>
              <w:rPr>
                <w:sz w:val="20"/>
                <w:szCs w:val="20"/>
                <w:color w:val="auto"/>
              </w:rPr>
            </w:pPr>
            <w:r>
              <w:rPr>
                <w:rFonts w:ascii="Arial" w:cs="Arial" w:eastAsia="Arial" w:hAnsi="Arial"/>
                <w:sz w:val="18"/>
                <w:szCs w:val="18"/>
                <w:color w:val="auto"/>
                <w:w w:val="89"/>
              </w:rPr>
              <w:t>_________________________________</w:t>
            </w:r>
          </w:p>
        </w:tc>
        <w:tc>
          <w:tcPr>
            <w:tcW w:w="4840" w:type="dxa"/>
            <w:vAlign w:val="bottom"/>
          </w:tcPr>
          <w:p>
            <w:pPr>
              <w:spacing w:after="0"/>
              <w:rPr>
                <w:sz w:val="18"/>
                <w:szCs w:val="18"/>
                <w:color w:val="auto"/>
              </w:rPr>
            </w:pPr>
          </w:p>
        </w:tc>
        <w:tc>
          <w:tcPr>
            <w:tcW w:w="1820" w:type="dxa"/>
            <w:vAlign w:val="bottom"/>
          </w:tcPr>
          <w:p>
            <w:pPr>
              <w:jc w:val="center"/>
              <w:ind w:left="370"/>
              <w:spacing w:after="0"/>
              <w:rPr>
                <w:sz w:val="20"/>
                <w:szCs w:val="20"/>
                <w:color w:val="auto"/>
              </w:rPr>
            </w:pPr>
            <w:r>
              <w:rPr>
                <w:rFonts w:ascii="Arial" w:cs="Arial" w:eastAsia="Arial" w:hAnsi="Arial"/>
                <w:sz w:val="18"/>
                <w:szCs w:val="18"/>
                <w:color w:val="auto"/>
                <w:w w:val="90"/>
              </w:rPr>
              <w:t>___________</w:t>
            </w: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840" w:type="dxa"/>
            <w:vAlign w:val="bottom"/>
          </w:tcPr>
          <w:p>
            <w:pPr>
              <w:spacing w:after="0"/>
              <w:rPr>
                <w:sz w:val="20"/>
                <w:szCs w:val="20"/>
                <w:color w:val="auto"/>
              </w:rPr>
            </w:pPr>
          </w:p>
        </w:tc>
        <w:tc>
          <w:tcPr>
            <w:tcW w:w="1820" w:type="dxa"/>
            <w:vAlign w:val="bottom"/>
          </w:tcPr>
          <w:p>
            <w:pPr>
              <w:jc w:val="center"/>
              <w:ind w:left="370"/>
              <w:spacing w:after="0"/>
              <w:rPr>
                <w:sz w:val="20"/>
                <w:szCs w:val="20"/>
                <w:color w:val="auto"/>
              </w:rPr>
            </w:pPr>
            <w:r>
              <w:rPr>
                <w:rFonts w:ascii="Arial" w:cs="Arial" w:eastAsia="Arial" w:hAnsi="Arial"/>
                <w:sz w:val="18"/>
                <w:szCs w:val="18"/>
                <w:color w:val="auto"/>
                <w:w w:val="94"/>
              </w:rPr>
              <w:t>(Zip Code)</w:t>
            </w:r>
          </w:p>
        </w:tc>
      </w:tr>
      <w:tr>
        <w:trPr>
          <w:trHeight w:val="432"/>
        </w:trPr>
        <w:tc>
          <w:tcPr>
            <w:tcW w:w="7880" w:type="dxa"/>
            <w:vAlign w:val="bottom"/>
            <w:gridSpan w:val="2"/>
          </w:tcPr>
          <w:p>
            <w:pPr>
              <w:ind w:left="580"/>
              <w:spacing w:after="0"/>
              <w:rPr>
                <w:sz w:val="20"/>
                <w:szCs w:val="20"/>
                <w:color w:val="auto"/>
              </w:rPr>
            </w:pPr>
            <w:r>
              <w:rPr>
                <w:rFonts w:ascii="Arial" w:cs="Arial" w:eastAsia="Arial" w:hAnsi="Arial"/>
                <w:sz w:val="18"/>
                <w:szCs w:val="18"/>
                <w:color w:val="auto"/>
              </w:rPr>
              <w:t>Registrant’s telephone number, including area code:</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858-848-8100</w:t>
            </w:r>
          </w:p>
        </w:tc>
      </w:tr>
      <w:tr>
        <w:trPr>
          <w:trHeight w:val="418"/>
        </w:trPr>
        <w:tc>
          <w:tcPr>
            <w:tcW w:w="3040" w:type="dxa"/>
            <w:vAlign w:val="bottom"/>
          </w:tcPr>
          <w:p>
            <w:pPr>
              <w:spacing w:after="0"/>
              <w:rPr>
                <w:sz w:val="24"/>
                <w:szCs w:val="24"/>
                <w:color w:val="auto"/>
              </w:rPr>
            </w:pPr>
          </w:p>
        </w:tc>
        <w:tc>
          <w:tcPr>
            <w:tcW w:w="4840" w:type="dxa"/>
            <w:vAlign w:val="bottom"/>
          </w:tcPr>
          <w:p>
            <w:pPr>
              <w:jc w:val="center"/>
              <w:ind w:right="330"/>
              <w:spacing w:after="0"/>
              <w:rPr>
                <w:sz w:val="20"/>
                <w:szCs w:val="20"/>
                <w:color w:val="auto"/>
              </w:rPr>
            </w:pPr>
            <w:r>
              <w:rPr>
                <w:rFonts w:ascii="Arial" w:cs="Arial" w:eastAsia="Arial" w:hAnsi="Arial"/>
                <w:sz w:val="18"/>
                <w:szCs w:val="18"/>
                <w:color w:val="auto"/>
                <w:w w:val="94"/>
              </w:rPr>
              <w:t>Not Applicable</w:t>
            </w:r>
          </w:p>
        </w:tc>
        <w:tc>
          <w:tcPr>
            <w:tcW w:w="182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840" w:type="dxa"/>
            <w:vAlign w:val="bottom"/>
          </w:tcPr>
          <w:p>
            <w:pPr>
              <w:jc w:val="right"/>
              <w:ind w:right="470"/>
              <w:spacing w:after="0"/>
              <w:rPr>
                <w:sz w:val="20"/>
                <w:szCs w:val="20"/>
                <w:color w:val="auto"/>
              </w:rPr>
            </w:pPr>
            <w:r>
              <w:rPr>
                <w:rFonts w:ascii="Arial" w:cs="Arial" w:eastAsia="Arial" w:hAnsi="Arial"/>
                <w:sz w:val="18"/>
                <w:szCs w:val="18"/>
                <w:color w:val="auto"/>
                <w:w w:val="92"/>
              </w:rPr>
              <w:t>______________________________________________</w:t>
            </w:r>
          </w:p>
        </w:tc>
        <w:tc>
          <w:tcPr>
            <w:tcW w:w="182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4840" w:type="dxa"/>
            <w:vAlign w:val="bottom"/>
          </w:tcPr>
          <w:p>
            <w:pPr>
              <w:jc w:val="center"/>
              <w:ind w:right="33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820" w:type="dxa"/>
            <w:vAlign w:val="bottom"/>
          </w:tcPr>
          <w:p>
            <w:pPr>
              <w:spacing w:after="0"/>
              <w:rPr>
                <w:sz w:val="20"/>
                <w:szCs w:val="20"/>
                <w:color w:val="auto"/>
              </w:rPr>
            </w:pPr>
          </w:p>
        </w:tc>
      </w:tr>
    </w:tbl>
    <w:p>
      <w:pPr>
        <w:spacing w:after="0" w:line="20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Emerging growth company</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left="32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11, 2018, Cohu, Inc. (“Cohu”), in connection with a periodic review of our existing form of indemnification agreement, adopted an updated form of indemnification agreement (the “Indemnification Agreement”) to be used between Cohu and individuals who may serve from time to time as directors or certain executive officers of Cohu. The Indemnification Agreement supplements indemnification provisions already in Cohu’s Amended and Restated Certificate of Incorporation and Amended and Restated Bylaws and supersedes any prior indemnification agreements entered into between Cohu and its directors or certain executive officers. Under the Indemnification Agreement, Cohu agrees to indemnify directors and certain executive officers to the fullest extent permitted by applicable law (including the Delaware General Corporation Law), including indemnification and/or advancement of expenses incurred or reasonably expected to be incurred in connection with participating in any action or proceeding, including any action or proceeding by or in right of Cohu, arising out of the person’s services as a director or certain executive officer.</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foregoing description of the Indemnification Agreement does not purport to be complete and is qualified in its entirety by reference to the full text of the Indemnification Agreement filed herewith as Exhibit 10.1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being furnished with this Current Report on Form 8-K.</w:t>
      </w:r>
    </w:p>
    <w:p>
      <w:pPr>
        <w:spacing w:after="0" w:line="225" w:lineRule="exact"/>
        <w:rPr>
          <w:sz w:val="20"/>
          <w:szCs w:val="20"/>
          <w:color w:val="auto"/>
        </w:rPr>
      </w:pPr>
    </w:p>
    <w:p>
      <w:pPr>
        <w:ind w:right="10100" w:firstLine="8"/>
        <w:spacing w:after="0" w:line="53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No. - 10.1</w:t>
      </w:r>
    </w:p>
    <w:p>
      <w:pPr>
        <w:spacing w:after="0"/>
        <w:rPr>
          <w:rFonts w:ascii="Arial" w:cs="Arial" w:eastAsia="Arial" w:hAnsi="Arial"/>
          <w:sz w:val="17"/>
          <w:szCs w:val="17"/>
          <w:color w:val="auto"/>
        </w:rPr>
      </w:pPr>
      <w:r>
        <w:rPr>
          <w:rFonts w:ascii="Arial" w:cs="Arial" w:eastAsia="Arial" w:hAnsi="Arial"/>
          <w:sz w:val="18"/>
          <w:szCs w:val="18"/>
          <w:color w:val="auto"/>
        </w:rPr>
        <w:t>Description – Form of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180" w:type="dxa"/>
            <w:vAlign w:val="bottom"/>
          </w:tcPr>
          <w:p>
            <w:pPr>
              <w:ind w:left="820"/>
              <w:spacing w:after="0"/>
              <w:rPr>
                <w:sz w:val="20"/>
                <w:szCs w:val="20"/>
                <w:color w:val="auto"/>
              </w:rPr>
            </w:pPr>
            <w:r>
              <w:rPr>
                <w:rFonts w:ascii="Arial" w:cs="Arial" w:eastAsia="Arial" w:hAnsi="Arial"/>
                <w:sz w:val="18"/>
                <w:szCs w:val="18"/>
                <w:b w:val="1"/>
                <w:bCs w:val="1"/>
                <w:color w:val="auto"/>
              </w:rPr>
              <w:t>Index of Exhibits</w:t>
            </w:r>
          </w:p>
        </w:tc>
      </w:tr>
      <w:tr>
        <w:trPr>
          <w:trHeight w:val="414"/>
        </w:trPr>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EXHIBIT</w:t>
            </w:r>
          </w:p>
        </w:tc>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234"/>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w:t>
            </w:r>
          </w:p>
        </w:tc>
        <w:tc>
          <w:tcPr>
            <w:tcW w:w="780" w:type="dxa"/>
            <w:vAlign w:val="bottom"/>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718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DESCRIPTION</w:t>
            </w:r>
          </w:p>
        </w:tc>
      </w:tr>
      <w:tr>
        <w:trPr>
          <w:trHeight w:val="817"/>
        </w:trPr>
        <w:tc>
          <w:tcPr>
            <w:tcW w:w="840" w:type="dxa"/>
            <w:vAlign w:val="bottom"/>
          </w:tcPr>
          <w:p>
            <w:pPr>
              <w:jc w:val="right"/>
              <w:ind w:right="430"/>
              <w:spacing w:after="0"/>
              <w:rPr>
                <w:sz w:val="20"/>
                <w:szCs w:val="20"/>
                <w:color w:val="auto"/>
              </w:rPr>
            </w:pPr>
            <w:r>
              <w:rPr>
                <w:rFonts w:ascii="Arial" w:cs="Arial" w:eastAsia="Arial" w:hAnsi="Arial"/>
                <w:sz w:val="18"/>
                <w:szCs w:val="18"/>
                <w:color w:val="auto"/>
                <w:w w:val="85"/>
              </w:rPr>
              <w:t>10.1</w:t>
            </w:r>
          </w:p>
        </w:tc>
        <w:tc>
          <w:tcPr>
            <w:tcW w:w="7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0000EE"/>
              </w:rPr>
              <w:t>Form of Indemnification Agreement</w:t>
            </w:r>
          </w:p>
        </w:tc>
      </w:tr>
      <w:tr>
        <w:trPr>
          <w:trHeight w:val="595"/>
        </w:trPr>
        <w:tc>
          <w:tcPr>
            <w:tcW w:w="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20" w:type="dxa"/>
            <w:vAlign w:val="bottom"/>
            <w:tcBorders>
              <w:top w:val="single" w:sz="8" w:color="0000EE"/>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center"/>
        <w:ind w:right="-6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December 13, 2018</w:t>
      </w:r>
      <w:r>
        <w:rPr>
          <w:sz w:val="20"/>
          <w:szCs w:val="20"/>
          <w:color w:val="auto"/>
        </w:rPr>
        <w:tab/>
      </w:r>
      <w:r>
        <w:rPr>
          <w:rFonts w:ascii="Arial" w:cs="Arial" w:eastAsia="Arial" w:hAnsi="Arial"/>
          <w:sz w:val="16"/>
          <w:szCs w:val="16"/>
          <w:color w:val="auto"/>
        </w:rPr>
        <w:t>Cohu, Inc.</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5715</wp:posOffset>
            </wp:positionV>
            <wp:extent cx="3533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0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Jeffrey D. Jones</w:t>
      </w:r>
    </w:p>
    <w:p>
      <w:pPr>
        <w:spacing w:after="0" w:line="225" w:lineRule="exact"/>
        <w:rPr>
          <w:sz w:val="20"/>
          <w:szCs w:val="20"/>
          <w:color w:val="auto"/>
        </w:rPr>
      </w:pPr>
    </w:p>
    <w:p>
      <w:pPr>
        <w:ind w:left="586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VP Finance and Chief Financial Officer</w:t>
      </w:r>
    </w:p>
    <w:p>
      <w:pPr>
        <w:sectPr>
          <w:pgSz w:w="11900" w:h="16838" w:orient="portrait"/>
          <w:cols w:equalWidth="0" w:num="1">
            <w:col w:w="10720"/>
          </w:cols>
          <w:pgMar w:left="240" w:top="580" w:right="9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INDEMNIFICATION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[Amended and Restated] Indemnification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___________________, 20__ and with effect from and after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 by and between Cohu,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___________________________ (“</w:t>
      </w:r>
      <w:r>
        <w:rPr>
          <w:rFonts w:ascii="Arial" w:cs="Arial" w:eastAsia="Arial" w:hAnsi="Arial"/>
          <w:sz w:val="17"/>
          <w:szCs w:val="17"/>
          <w:u w:val="single" w:color="auto"/>
          <w:color w:val="auto"/>
        </w:rPr>
        <w:t>Indemnitee</w:t>
      </w:r>
      <w:r>
        <w:rPr>
          <w:rFonts w:ascii="Arial" w:cs="Arial" w:eastAsia="Arial" w:hAnsi="Arial"/>
          <w:sz w:val="17"/>
          <w:szCs w:val="17"/>
          <w:color w:val="auto"/>
        </w:rPr>
        <w:t>”).</w:t>
      </w:r>
    </w:p>
    <w:p>
      <w:pPr>
        <w:spacing w:after="0" w:line="22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WHEREAS, highly competent persons have become more reluctant to serve or continue to serve publicly held corporations as directors or officers or in other capacities unless they are provided with adequate protection through insurance and adequate indemnification against inordinate risks of claims and actions against them arising out of their service to and activities on behalf of the corporation;</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determined that, in order to attract and retain qualified individuals, the Company will attempt to maintain on an ongoing basis, at its sole expense, liability insurance to protect persons serving the Company and its Subsidiaries from certain liabilities;</w:t>
      </w:r>
    </w:p>
    <w:p>
      <w:pPr>
        <w:spacing w:after="0" w:line="181"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color w:val="auto"/>
        </w:rPr>
        <w:t>WHEREAS, the By-Laws of the Company (the “</w:t>
      </w:r>
      <w:r>
        <w:rPr>
          <w:rFonts w:ascii="Arial" w:cs="Arial" w:eastAsia="Arial" w:hAnsi="Arial"/>
          <w:sz w:val="18"/>
          <w:szCs w:val="18"/>
          <w:u w:val="single" w:color="auto"/>
          <w:color w:val="auto"/>
        </w:rPr>
        <w:t>By-Laws</w:t>
      </w:r>
      <w:r>
        <w:rPr>
          <w:rFonts w:ascii="Arial" w:cs="Arial" w:eastAsia="Arial" w:hAnsi="Arial"/>
          <w:sz w:val="18"/>
          <w:szCs w:val="18"/>
          <w:color w:val="auto"/>
        </w:rPr>
        <w:t>”) require the Company to indemnify the officers, directors and employees of the Company in certain circumstances and Indemnitee may also be entitled to indemnification pursuant to applicable provisions of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WHEREAS, the By-Laws and the DGCL expressly provide that the indemnification provisions set forth therein are not exclusive, and the By-Laws expressly contemplate that contracts may be entered into between the Company and members of the board of directors, officers and other persons with respect to indemnification;</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hold harmless, and to advance expenses on behalf of, such persons to the fullest extent permitted by applicable law so that they will serve or continue to serve the Company free from undue concern that they will not be so indemnified;</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WHEREAS, this Agreement is a supplement to and in furtherance of the By-Laws and any resolutions adopted pursuant thereto, and shall not be deemed a substitute therefore, nor to diminish or abrogate any rights of Indemnitee thereunder; and</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WHEREAS, Indemnitee is willing to serve, continue to serve and to take on additional service for or on behalf of the Company on the condition that Indemnitee be so indemnified.</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66" w:lineRule="exact"/>
        <w:rPr>
          <w:sz w:val="20"/>
          <w:szCs w:val="20"/>
          <w:color w:val="auto"/>
        </w:rPr>
      </w:pPr>
    </w:p>
    <w:p>
      <w:pPr>
        <w:ind w:right="100" w:firstLine="656"/>
        <w:spacing w:after="0" w:line="281" w:lineRule="auto"/>
        <w:tabs>
          <w:tab w:leader="none" w:pos="1008"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SERVICES TO THE COMPANY</w:t>
      </w:r>
      <w:r>
        <w:rPr>
          <w:rFonts w:ascii="Arial" w:cs="Arial" w:eastAsia="Arial" w:hAnsi="Arial"/>
          <w:sz w:val="17"/>
          <w:szCs w:val="17"/>
          <w:color w:val="auto"/>
        </w:rPr>
        <w:t>. Indemnitee agrees to serve or continue to serve as an officer, or director or key employee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for so long as Indemnitee is duly elected or appointed or until Indemnitee tenders his or her resignation or is terminated by the Company or becomes incapacitated in accordance with the Company’s Certificate of Incorporation (the “</w:t>
      </w:r>
      <w:r>
        <w:rPr>
          <w:rFonts w:ascii="Arial" w:cs="Arial" w:eastAsia="Arial" w:hAnsi="Arial"/>
          <w:sz w:val="17"/>
          <w:szCs w:val="17"/>
          <w:u w:val="single" w:color="auto"/>
          <w:color w:val="auto"/>
        </w:rPr>
        <w:t>Charter</w:t>
      </w:r>
      <w:r>
        <w:rPr>
          <w:rFonts w:ascii="Arial" w:cs="Arial" w:eastAsia="Arial" w:hAnsi="Arial"/>
          <w:sz w:val="17"/>
          <w:szCs w:val="17"/>
          <w:color w:val="auto"/>
        </w:rPr>
        <w:t>”) or By-Laws. Nothing contained in this Agreement shall be construed as giving Indemnitee any right to be retained in the employ of the Company or any of its Subsidiaries or affiliated entities.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1020" w:hanging="36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color w:val="auto"/>
        </w:rPr>
      </w:pPr>
    </w:p>
    <w:p>
      <w:pPr>
        <w:ind w:right="80" w:firstLine="980"/>
        <w:spacing w:after="0" w:line="277" w:lineRule="auto"/>
        <w:tabs>
          <w:tab w:leader="none" w:pos="1442"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meanings set forth in Rule 13d-3 promulgated under the Exchange Act as in effect on the date hereof.</w:t>
      </w:r>
    </w:p>
    <w:p>
      <w:pPr>
        <w:spacing w:after="0" w:line="170" w:lineRule="exact"/>
        <w:rPr>
          <w:rFonts w:ascii="Arial" w:cs="Arial" w:eastAsia="Arial" w:hAnsi="Arial"/>
          <w:sz w:val="18"/>
          <w:szCs w:val="18"/>
          <w:color w:val="auto"/>
        </w:rPr>
      </w:pPr>
    </w:p>
    <w:p>
      <w:pPr>
        <w:ind w:left="1460" w:hanging="480"/>
        <w:spacing w:after="0"/>
        <w:tabs>
          <w:tab w:leader="none" w:pos="1460" w:val="left"/>
        </w:tabs>
        <w:numPr>
          <w:ilvl w:val="1"/>
          <w:numId w:val="4"/>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occur upon the earliest to occur after the date of this Agreement of any of the following events:</w:t>
      </w:r>
    </w:p>
    <w:p>
      <w:pPr>
        <w:spacing w:after="0" w:line="248" w:lineRule="exact"/>
        <w:rPr>
          <w:rFonts w:ascii="Arial" w:cs="Arial" w:eastAsia="Arial" w:hAnsi="Arial"/>
          <w:sz w:val="16"/>
          <w:szCs w:val="16"/>
          <w:color w:val="auto"/>
        </w:rPr>
      </w:pPr>
    </w:p>
    <w:p>
      <w:pPr>
        <w:ind w:right="40" w:firstLine="1467"/>
        <w:spacing w:after="0" w:line="273" w:lineRule="auto"/>
        <w:tabs>
          <w:tab w:leader="none" w:pos="1844" w:val="left"/>
        </w:tabs>
        <w:numPr>
          <w:ilvl w:val="2"/>
          <w:numId w:val="4"/>
        </w:numPr>
        <w:rPr>
          <w:rFonts w:ascii="Arial" w:cs="Arial" w:eastAsia="Arial" w:hAnsi="Arial"/>
          <w:sz w:val="17"/>
          <w:szCs w:val="17"/>
          <w:color w:val="auto"/>
        </w:rPr>
      </w:pPr>
      <w:r>
        <w:rPr>
          <w:rFonts w:ascii="Arial" w:cs="Arial" w:eastAsia="Arial" w:hAnsi="Arial"/>
          <w:sz w:val="17"/>
          <w:szCs w:val="17"/>
          <w:color w:val="auto"/>
        </w:rPr>
        <w:t>Acquisition of Stock by Third Party. Any Person is or becomes the Beneficial Owner, directly or indirectly, of securities of the Company representing twenty percent (20%)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and such Person does not thereafter become the Beneficial Owner of any additional voting securities of the Company, or (2) such acquisition was approved in advance by the Continuing Directors and such acquisition would not constitute a Change in Control under part (iii) of this definition;</w:t>
      </w:r>
    </w:p>
    <w:p>
      <w:pPr>
        <w:spacing w:after="0" w:line="178" w:lineRule="exact"/>
        <w:rPr>
          <w:rFonts w:ascii="Arial" w:cs="Arial" w:eastAsia="Arial" w:hAnsi="Arial"/>
          <w:sz w:val="17"/>
          <w:szCs w:val="17"/>
          <w:color w:val="auto"/>
        </w:rPr>
      </w:pPr>
    </w:p>
    <w:p>
      <w:pPr>
        <w:ind w:right="60" w:firstLine="1467"/>
        <w:spacing w:after="0" w:line="257" w:lineRule="auto"/>
        <w:tabs>
          <w:tab w:leader="none" w:pos="1904" w:val="left"/>
        </w:tabs>
        <w:numPr>
          <w:ilvl w:val="2"/>
          <w:numId w:val="4"/>
        </w:numPr>
        <w:rPr>
          <w:rFonts w:ascii="Arial" w:cs="Arial" w:eastAsia="Arial" w:hAnsi="Arial"/>
          <w:sz w:val="18"/>
          <w:szCs w:val="18"/>
          <w:color w:val="auto"/>
        </w:rPr>
      </w:pPr>
      <w:r>
        <w:rPr>
          <w:rFonts w:ascii="Arial" w:cs="Arial" w:eastAsia="Arial" w:hAnsi="Arial"/>
          <w:sz w:val="18"/>
          <w:szCs w:val="18"/>
          <w:color w:val="auto"/>
        </w:rPr>
        <w:t>Change in Board of Directors. During any period of two consecutive years (not including any period prior to the execution of this Agreement) individuals who, at the beginning of such period, constitute the Board, and any new director whose election by the Board or nomination for election by the Company’s stockholders was approved by a vote of at least a two-thirds of the directors then still in office who were directors at the beginning of such period or whose nomination for election was previously so approved (collectively, the “</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cease for any reason to constitute at least a majority of the members of the Board;</w:t>
      </w:r>
    </w:p>
    <w:p>
      <w:pPr>
        <w:spacing w:after="0" w:line="188" w:lineRule="exact"/>
        <w:rPr>
          <w:rFonts w:ascii="Arial" w:cs="Arial" w:eastAsia="Arial" w:hAnsi="Arial"/>
          <w:sz w:val="18"/>
          <w:szCs w:val="18"/>
          <w:color w:val="auto"/>
        </w:rPr>
      </w:pPr>
    </w:p>
    <w:p>
      <w:pPr>
        <w:ind w:firstLine="1467"/>
        <w:spacing w:after="0" w:line="270" w:lineRule="auto"/>
        <w:tabs>
          <w:tab w:leader="none" w:pos="1954" w:val="left"/>
        </w:tabs>
        <w:numPr>
          <w:ilvl w:val="2"/>
          <w:numId w:val="4"/>
        </w:numPr>
        <w:rPr>
          <w:rFonts w:ascii="Arial" w:cs="Arial" w:eastAsia="Arial" w:hAnsi="Arial"/>
          <w:sz w:val="17"/>
          <w:szCs w:val="17"/>
          <w:color w:val="auto"/>
        </w:rPr>
      </w:pPr>
      <w:r>
        <w:rPr>
          <w:rFonts w:ascii="Arial" w:cs="Arial" w:eastAsia="Arial" w:hAnsi="Arial"/>
          <w:sz w:val="17"/>
          <w:szCs w:val="17"/>
          <w:color w:val="auto"/>
        </w:rPr>
        <w:t>Corporate Transactions. The effective date of a reorganization, merger or consolidation of the Company (a “</w:t>
      </w:r>
      <w:r>
        <w:rPr>
          <w:rFonts w:ascii="Arial" w:cs="Arial" w:eastAsia="Arial" w:hAnsi="Arial"/>
          <w:sz w:val="17"/>
          <w:szCs w:val="17"/>
          <w:u w:val="single" w:color="auto"/>
          <w:color w:val="auto"/>
        </w:rPr>
        <w:t>Business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Combination</w:t>
      </w:r>
      <w:r>
        <w:rPr>
          <w:rFonts w:ascii="Arial" w:cs="Arial" w:eastAsia="Arial" w:hAnsi="Arial"/>
          <w:sz w:val="17"/>
          <w:szCs w:val="17"/>
          <w:color w:val="auto"/>
        </w:rPr>
        <w:t>”), in each case, unless, immediately following such Business Combination: all or substantially all of the Persons who were the Beneficial Owners of securities entitled to vote generally in the election of directors immediately prior to such Business Combination beneficially own, directly or indirectly, more than 50% of the combined voting power of the then outstanding securities of the Company entitled to vote generally in the election of directors resulting from such Business Combination (including a Person which as a result of such Business Combination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and (2)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1" w:lineRule="exact"/>
        <w:rPr>
          <w:rFonts w:ascii="Arial" w:cs="Arial" w:eastAsia="Arial" w:hAnsi="Arial"/>
          <w:sz w:val="17"/>
          <w:szCs w:val="17"/>
          <w:color w:val="auto"/>
        </w:rPr>
      </w:pPr>
    </w:p>
    <w:p>
      <w:pPr>
        <w:ind w:right="20" w:firstLine="1467"/>
        <w:spacing w:after="0" w:line="286" w:lineRule="auto"/>
        <w:tabs>
          <w:tab w:leader="none" w:pos="1943" w:val="left"/>
        </w:tabs>
        <w:numPr>
          <w:ilvl w:val="2"/>
          <w:numId w:val="4"/>
        </w:numPr>
        <w:rPr>
          <w:rFonts w:ascii="Arial" w:cs="Arial" w:eastAsia="Arial" w:hAnsi="Arial"/>
          <w:sz w:val="17"/>
          <w:szCs w:val="17"/>
          <w:color w:val="auto"/>
        </w:rPr>
      </w:pPr>
      <w:r>
        <w:rPr>
          <w:rFonts w:ascii="Arial" w:cs="Arial" w:eastAsia="Arial" w:hAnsi="Arial"/>
          <w:sz w:val="17"/>
          <w:szCs w:val="17"/>
          <w:color w:val="auto"/>
        </w:rPr>
        <w:t>Liquidation. The approval by the stockholders of the Company of a complete liquidation of the Company or an agreement or series of agreements for the sale or disposition by the Company of all or substantially all of the Company’s assets (or if such approval is not required, the decision by the Board to proceed with such a liquidation, sale or disposition in one transaction or a series of related transactions);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both"/>
        <w:ind w:left="-40" w:right="140" w:firstLine="1467"/>
        <w:spacing w:after="0" w:line="342" w:lineRule="auto"/>
        <w:tabs>
          <w:tab w:leader="none" w:pos="1853" w:val="left"/>
        </w:tabs>
        <w:numPr>
          <w:ilvl w:val="1"/>
          <w:numId w:val="5"/>
        </w:numPr>
        <w:rPr>
          <w:rFonts w:ascii="Arial" w:cs="Arial" w:eastAsia="Arial" w:hAnsi="Arial"/>
          <w:sz w:val="16"/>
          <w:szCs w:val="16"/>
          <w:color w:val="auto"/>
        </w:rPr>
      </w:pPr>
      <w:r>
        <w:rPr>
          <w:rFonts w:ascii="Arial" w:cs="Arial" w:eastAsia="Arial" w:hAnsi="Arial"/>
          <w:sz w:val="16"/>
          <w:szCs w:val="16"/>
          <w:color w:val="auto"/>
        </w:rPr>
        <w:t>Delegation of Certain Powers to a Committee. The delegation by the Board to a committee, whether it be the Audit Committee, a special litigation committee or other committee of the power to bring or assume control of a litigation by or in right of the Company against the Indemnitee.</w:t>
      </w:r>
    </w:p>
    <w:p>
      <w:pPr>
        <w:spacing w:after="0" w:line="123" w:lineRule="exact"/>
        <w:rPr>
          <w:rFonts w:ascii="Arial" w:cs="Arial" w:eastAsia="Arial" w:hAnsi="Arial"/>
          <w:sz w:val="16"/>
          <w:szCs w:val="16"/>
          <w:color w:val="auto"/>
        </w:rPr>
      </w:pPr>
    </w:p>
    <w:p>
      <w:pPr>
        <w:ind w:left="-40" w:right="120" w:firstLine="1467"/>
        <w:spacing w:after="0" w:line="264" w:lineRule="auto"/>
        <w:tabs>
          <w:tab w:leader="none" w:pos="1903" w:val="left"/>
        </w:tabs>
        <w:numPr>
          <w:ilvl w:val="1"/>
          <w:numId w:val="5"/>
        </w:numPr>
        <w:rPr>
          <w:rFonts w:ascii="Arial" w:cs="Arial" w:eastAsia="Arial" w:hAnsi="Arial"/>
          <w:sz w:val="18"/>
          <w:szCs w:val="18"/>
          <w:color w:val="auto"/>
        </w:rPr>
      </w:pPr>
      <w:r>
        <w:rPr>
          <w:rFonts w:ascii="Arial" w:cs="Arial" w:eastAsia="Arial" w:hAnsi="Arial"/>
          <w:sz w:val="18"/>
          <w:szCs w:val="18"/>
          <w:color w:val="auto"/>
        </w:rPr>
        <w:t>Other Events.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181" w:lineRule="exact"/>
        <w:rPr>
          <w:rFonts w:ascii="Arial" w:cs="Arial" w:eastAsia="Arial" w:hAnsi="Arial"/>
          <w:sz w:val="18"/>
          <w:szCs w:val="18"/>
          <w:color w:val="auto"/>
        </w:rPr>
      </w:pPr>
    </w:p>
    <w:p>
      <w:pPr>
        <w:ind w:left="-40" w:right="80" w:firstLine="980"/>
        <w:spacing w:after="0" w:line="342" w:lineRule="auto"/>
        <w:tabs>
          <w:tab w:leader="none" w:pos="1357"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Status</w:t>
      </w:r>
      <w:r>
        <w:rPr>
          <w:rFonts w:ascii="Arial" w:cs="Arial" w:eastAsia="Arial" w:hAnsi="Arial"/>
          <w:sz w:val="16"/>
          <w:szCs w:val="16"/>
          <w:color w:val="auto"/>
        </w:rPr>
        <w:t>” describes the status of a person who is or was a director, officer, trustee, general partner, managing member, fiduciary, employee or agent of the Company or of any other Enterprise which such person is or was serving in such capacity at the request of the Company.</w:t>
      </w:r>
    </w:p>
    <w:p>
      <w:pPr>
        <w:spacing w:after="0" w:line="123" w:lineRule="exact"/>
        <w:rPr>
          <w:rFonts w:ascii="Arial" w:cs="Arial" w:eastAsia="Arial" w:hAnsi="Arial"/>
          <w:sz w:val="16"/>
          <w:szCs w:val="16"/>
          <w:color w:val="auto"/>
        </w:rPr>
      </w:pPr>
    </w:p>
    <w:p>
      <w:pPr>
        <w:ind w:left="1380" w:hanging="440"/>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ind w:left="-40" w:right="220" w:firstLine="980"/>
        <w:spacing w:after="0" w:line="264" w:lineRule="auto"/>
        <w:tabs>
          <w:tab w:leader="none" w:pos="1357"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shall mean a director of the Company who is not, and was not, a party to the Proceeding in respect of which indemnification is sought by Indemnitee and who has not advocated (other than by way of being a member of the Board and performing in good faith such director’s duties as such) a position adverse to Indemnitee in such Proceeding.</w:t>
      </w:r>
    </w:p>
    <w:p>
      <w:pPr>
        <w:spacing w:after="0" w:line="181" w:lineRule="exact"/>
        <w:rPr>
          <w:rFonts w:ascii="Arial" w:cs="Arial" w:eastAsia="Arial" w:hAnsi="Arial"/>
          <w:sz w:val="18"/>
          <w:szCs w:val="18"/>
          <w:color w:val="auto"/>
        </w:rPr>
      </w:pPr>
    </w:p>
    <w:p>
      <w:pPr>
        <w:ind w:left="-40" w:right="20" w:firstLine="980"/>
        <w:spacing w:after="0" w:line="302" w:lineRule="auto"/>
        <w:tabs>
          <w:tab w:leader="none" w:pos="1292"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Enterprise</w:t>
      </w:r>
      <w:r>
        <w:rPr>
          <w:rFonts w:ascii="Arial" w:cs="Arial" w:eastAsia="Arial" w:hAnsi="Arial"/>
          <w:sz w:val="16"/>
          <w:szCs w:val="16"/>
          <w:color w:val="auto"/>
        </w:rPr>
        <w:t>” shall mean the Company and any other corporation, constituent corporation (including any constituent of a constituent) absorbed in a consolidation or merger to which the Company (or any of its wholly-owned Subsidiaries) is a party, limited liability company, partnership, joint venture, trust, employee benefit plan or similar entity organized outside the United States or other enterprise, whether foreign or domestic, of which Indemnitee is or was serving at the request of the Company as a director, officer, trustee, general partner, managing member, fiduciary, employee or agent.</w:t>
      </w:r>
    </w:p>
    <w:p>
      <w:pPr>
        <w:spacing w:after="0" w:line="154" w:lineRule="exact"/>
        <w:rPr>
          <w:rFonts w:ascii="Arial" w:cs="Arial" w:eastAsia="Arial" w:hAnsi="Arial"/>
          <w:sz w:val="16"/>
          <w:szCs w:val="16"/>
          <w:color w:val="auto"/>
        </w:rPr>
      </w:pPr>
    </w:p>
    <w:p>
      <w:pPr>
        <w:ind w:left="1380" w:hanging="440"/>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ind w:left="-40" w:firstLine="980"/>
        <w:spacing w:after="0" w:line="270" w:lineRule="auto"/>
        <w:tabs>
          <w:tab w:leader="none" w:pos="1367"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direct and indirect costs, fees and expenses of any type or nature whatsoever, including all attorneys’ fees and costs, retainers, court costs, transcript costs, fees of experts, witness fees, travel expenses, fees of private investigators and professional advisors (including accountants and investment bankers), duplicating costs, printing and binding costs, translation costs, telephone and facsimile charges, postage, delivery service fees, and all other disbursements, obligations or expenses in connection with prosecuting, defending, preparing to prosecute or defend, investigating, being or preparing to be a witness, deponent or interviewee in, or otherwise participating in, a Proceeding. Expenses also shall include Expenses incurred in connection with any appeal resulting from any Proceeding, including the premium, security for, and other costs relating to any cost bond, supersede as bond, or other appeal bond or its equivalent, and an amount necessary to satisfy any federal, state, local or foreign taxes imposed on Indemnitees as a result of the actual or deemed receipt of any payments under this Agreement. Expenses, however, shall not include amounts paid in settlement by Indemnitee or the amount of judgments or fines against Indemnitee.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584" w:right="279" w:bottom="1440" w:gutter="0" w:footer="0" w:header="0"/>
        </w:sectPr>
      </w:pPr>
    </w:p>
    <w:bookmarkStart w:id="7" w:name="page8"/>
    <w:bookmarkEnd w:id="7"/>
    <w:p>
      <w:pPr>
        <w:ind w:left="-20" w:firstLine="980"/>
        <w:spacing w:after="0" w:line="273" w:lineRule="auto"/>
        <w:tabs>
          <w:tab w:leader="none" w:pos="1347"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Counsel</w:t>
      </w:r>
      <w:r>
        <w:rPr>
          <w:rFonts w:ascii="Arial" w:cs="Arial" w:eastAsia="Arial" w:hAnsi="Arial"/>
          <w:sz w:val="17"/>
          <w:szCs w:val="17"/>
          <w:color w:val="auto"/>
        </w:rPr>
        <w:t>” shall mean a law firm or a partner or shareholder of a law firm that has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8" w:lineRule="exact"/>
        <w:rPr>
          <w:rFonts w:ascii="Arial" w:cs="Arial" w:eastAsia="Arial" w:hAnsi="Arial"/>
          <w:sz w:val="17"/>
          <w:szCs w:val="17"/>
          <w:color w:val="auto"/>
        </w:rPr>
      </w:pPr>
    </w:p>
    <w:p>
      <w:pPr>
        <w:ind w:left="-20" w:firstLine="980"/>
        <w:spacing w:after="0" w:line="297" w:lineRule="auto"/>
        <w:tabs>
          <w:tab w:leader="none" w:pos="1347" w:val="left"/>
        </w:tabs>
        <w:numPr>
          <w:ilvl w:val="0"/>
          <w:numId w:val="7"/>
        </w:numPr>
        <w:rPr>
          <w:rFonts w:ascii="Arial" w:cs="Arial" w:eastAsia="Arial" w:hAnsi="Arial"/>
          <w:sz w:val="16"/>
          <w:szCs w:val="16"/>
          <w:color w:val="auto"/>
        </w:rPr>
      </w:pPr>
      <w:r>
        <w:rPr>
          <w:rFonts w:ascii="Arial" w:cs="Arial" w:eastAsia="Arial" w:hAnsi="Arial"/>
          <w:sz w:val="16"/>
          <w:szCs w:val="16"/>
          <w:color w:val="auto"/>
        </w:rPr>
        <w:t>References to “</w:t>
      </w:r>
      <w:r>
        <w:rPr>
          <w:rFonts w:ascii="Arial" w:cs="Arial" w:eastAsia="Arial" w:hAnsi="Arial"/>
          <w:sz w:val="16"/>
          <w:szCs w:val="16"/>
          <w:u w:val="single" w:color="auto"/>
          <w:color w:val="auto"/>
        </w:rPr>
        <w:t>fines</w:t>
      </w:r>
      <w:r>
        <w:rPr>
          <w:rFonts w:ascii="Arial" w:cs="Arial" w:eastAsia="Arial" w:hAnsi="Arial"/>
          <w:sz w:val="16"/>
          <w:szCs w:val="16"/>
          <w:color w:val="auto"/>
        </w:rPr>
        <w:t>” shall include any excise tax assessed on Indemnitee with respect to any employee benefit plan; references to “</w:t>
      </w:r>
      <w:r>
        <w:rPr>
          <w:rFonts w:ascii="Arial" w:cs="Arial" w:eastAsia="Arial" w:hAnsi="Arial"/>
          <w:sz w:val="16"/>
          <w:szCs w:val="16"/>
          <w:u w:val="single" w:color="auto"/>
          <w:color w:val="auto"/>
        </w:rPr>
        <w:t>serving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at the request of the Company</w:t>
      </w:r>
      <w:r>
        <w:rPr>
          <w:rFonts w:ascii="Arial" w:cs="Arial" w:eastAsia="Arial" w:hAnsi="Arial"/>
          <w:sz w:val="16"/>
          <w:szCs w:val="16"/>
          <w:color w:val="auto"/>
        </w:rPr>
        <w:t>”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6"/>
          <w:szCs w:val="16"/>
          <w:u w:val="single" w:color="auto"/>
          <w:color w:val="auto"/>
        </w:rPr>
        <w:t>not opposed to the best interests of the Company</w:t>
      </w:r>
      <w:r>
        <w:rPr>
          <w:rFonts w:ascii="Arial" w:cs="Arial" w:eastAsia="Arial" w:hAnsi="Arial"/>
          <w:sz w:val="16"/>
          <w:szCs w:val="16"/>
          <w:color w:val="auto"/>
        </w:rPr>
        <w:t>” as referred to in this Agreement.</w:t>
      </w:r>
    </w:p>
    <w:p>
      <w:pPr>
        <w:spacing w:after="0" w:line="158" w:lineRule="exact"/>
        <w:rPr>
          <w:rFonts w:ascii="Arial" w:cs="Arial" w:eastAsia="Arial" w:hAnsi="Arial"/>
          <w:sz w:val="16"/>
          <w:szCs w:val="16"/>
          <w:color w:val="auto"/>
        </w:rPr>
      </w:pPr>
    </w:p>
    <w:p>
      <w:pPr>
        <w:ind w:left="-20" w:right="60" w:firstLine="980"/>
        <w:spacing w:after="0" w:line="255" w:lineRule="auto"/>
        <w:tabs>
          <w:tab w:leader="none" w:pos="138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Person</w:t>
      </w:r>
      <w:r>
        <w:rPr>
          <w:rFonts w:ascii="Arial" w:cs="Arial" w:eastAsia="Arial" w:hAnsi="Arial"/>
          <w:sz w:val="18"/>
          <w:szCs w:val="18"/>
          <w:color w:val="auto"/>
        </w:rPr>
        <w:t xml:space="preserve">” shall have the meaning as set forth in Sections 13(d) and 14(d) of the Exchange Act as in effect on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“Person” shall exclude: (i) the Company; (ii) any Subsidiaries of the Company; (iii) any employment benefit plan of the Company or of a Subsidiary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w:t>
      </w:r>
    </w:p>
    <w:p>
      <w:pPr>
        <w:spacing w:after="0" w:line="193" w:lineRule="exact"/>
        <w:rPr>
          <w:rFonts w:ascii="Arial" w:cs="Arial" w:eastAsia="Arial" w:hAnsi="Arial"/>
          <w:sz w:val="18"/>
          <w:szCs w:val="18"/>
          <w:color w:val="auto"/>
        </w:rPr>
      </w:pPr>
    </w:p>
    <w:p>
      <w:pPr>
        <w:ind w:left="-20" w:right="20" w:firstLine="980"/>
        <w:spacing w:after="0" w:line="290" w:lineRule="auto"/>
        <w:tabs>
          <w:tab w:leader="none" w:pos="134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Proceeding</w:t>
      </w:r>
      <w:r>
        <w:rPr>
          <w:rFonts w:ascii="Arial" w:cs="Arial" w:eastAsia="Arial" w:hAnsi="Arial"/>
          <w:sz w:val="16"/>
          <w:szCs w:val="16"/>
          <w:color w:val="auto"/>
        </w:rPr>
        <w:t>” shall include any threatened, pending or completed action, suit, arbitration, alternate dispute resolution mechanism, investigation, inquiry, administrative hearing or any other actual, threatened or completed proceeding, in any jurisdiction, whether brought in the right of the Company or otherwise and whether of a civil (including intentional or unintentional tort claims), criminal, administrative or investigative nature, in which Indemnitee was, is, may or will be involved as a party or otherwise by reason of the fact that Indemnitee is or was a director or officer or key employee of the Company, by reason of any action (or failure to act) taken by Indemnitee or of any action (or failure to act) on Indemnitee’s part while acting as a director or officer of the Company, or by reason of the fact that Indemnitee is or was serving at the request of the Company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66" w:lineRule="exact"/>
        <w:rPr>
          <w:rFonts w:ascii="Arial" w:cs="Arial" w:eastAsia="Arial" w:hAnsi="Arial"/>
          <w:sz w:val="16"/>
          <w:szCs w:val="16"/>
          <w:color w:val="auto"/>
        </w:rPr>
      </w:pPr>
    </w:p>
    <w:p>
      <w:pPr>
        <w:ind w:left="-20" w:right="140" w:firstLine="980"/>
        <w:spacing w:after="0" w:line="277" w:lineRule="auto"/>
        <w:tabs>
          <w:tab w:leader="none" w:pos="143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Subsidiary</w:t>
      </w:r>
      <w:r>
        <w:rPr>
          <w:rFonts w:ascii="Arial" w:cs="Arial" w:eastAsia="Arial" w:hAnsi="Arial"/>
          <w:sz w:val="18"/>
          <w:szCs w:val="18"/>
          <w:color w:val="auto"/>
        </w:rPr>
        <w:t>” with respect to any Person, shall mean any corporation or other entity of which a majority of the voting power of the voting equity securities or equity interest is owned, directly or indirectly, by that Person.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8" w:name="page9"/>
    <w:bookmarkEnd w:id="8"/>
    <w:p>
      <w:pPr>
        <w:ind w:right="40" w:firstLine="656"/>
        <w:spacing w:after="0" w:line="271" w:lineRule="auto"/>
        <w:tabs>
          <w:tab w:leader="none" w:pos="1008"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INDEMNITY IN THIRD PARTY PROCEEDINGS</w:t>
      </w:r>
      <w:r>
        <w:rPr>
          <w:rFonts w:ascii="Arial" w:cs="Arial" w:eastAsia="Arial" w:hAnsi="Arial"/>
          <w:sz w:val="17"/>
          <w:szCs w:val="17"/>
          <w:color w:val="auto"/>
        </w:rPr>
        <w:t>. The Company shall indemnify and hold harmless Indemnitee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this Section 3 if Indemnitee was, is, or is threatened to be made, a party to or a participant (as a witness or otherwise) in any Proceeding, other than a Proceeding by or in the right of the Company to procure a judgment in its favor. Pursuant to this Section 3, Indemnitee shall be indemnified and held harmless to the fullest extent permitted by applicable law against all Expenses, judgments, liabilities, fees, fines, penalties and amounts paid in settlement if such settlement is approved in advance by the Company, which approval shall not be unreasonably withheld (including all interest, assessments and other charges paid or payable in connection with or in respect of such Expenses, judgments, fines, penalties and amounts paid in settlement) actually and reasonably incurred by or on behalf of Indemnitee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4" w:lineRule="exact"/>
        <w:rPr>
          <w:rFonts w:ascii="Arial" w:cs="Arial" w:eastAsia="Arial" w:hAnsi="Arial"/>
          <w:sz w:val="17"/>
          <w:szCs w:val="17"/>
          <w:color w:val="auto"/>
        </w:rPr>
      </w:pPr>
    </w:p>
    <w:p>
      <w:pPr>
        <w:ind w:right="20" w:firstLine="656"/>
        <w:spacing w:after="0" w:line="270" w:lineRule="auto"/>
        <w:tabs>
          <w:tab w:leader="none" w:pos="1008"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INDEMNITY IN PROCEEDINGS BY OR IN THE RIGHT OF THE COMPANY</w:t>
      </w:r>
      <w:r>
        <w:rPr>
          <w:rFonts w:ascii="Arial" w:cs="Arial" w:eastAsia="Arial" w:hAnsi="Arial"/>
          <w:sz w:val="17"/>
          <w:szCs w:val="17"/>
          <w:color w:val="auto"/>
        </w:rPr>
        <w:t>. The Company shall indemnify and hold harmless</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 in accordance with the provisions of this Section 4 if Indemnitee was, is, or is threatened to be made, a party to or a participant (as a witness or otherwise) in any Proceeding by or in the right of the Company to procure a judgment in its favor. Pursuant to this Section 4, Indemnitee shall be indemnified and held harmless to the fullest extent permitted by applicable law against all Expenses actually and reasonably incurred by or on behalf of Indemnitee in connection with such Proceeding or any claim, issue or matter therein, if Indemnitee acted in good faith and in a manner Indemnitee reasonably believed to be in or not opposed to the best interests of the Company. No indemnification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and to be held harmless for such Expenses as the Delaware Court or such other court shall deem proper.</w:t>
      </w:r>
    </w:p>
    <w:p>
      <w:pPr>
        <w:spacing w:after="0" w:line="177" w:lineRule="exact"/>
        <w:rPr>
          <w:rFonts w:ascii="Arial" w:cs="Arial" w:eastAsia="Arial" w:hAnsi="Arial"/>
          <w:sz w:val="17"/>
          <w:szCs w:val="17"/>
          <w:color w:val="auto"/>
        </w:rPr>
      </w:pPr>
    </w:p>
    <w:p>
      <w:pPr>
        <w:ind w:firstLine="656"/>
        <w:spacing w:after="0" w:line="272" w:lineRule="auto"/>
        <w:tabs>
          <w:tab w:leader="none" w:pos="1008"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this Agreement, to the extent that Indemnitee is a party to or a participant in and is successful, on the merits or otherwise, in any Proceeding or any claim, issue or matter therein, in whole or in part, the Company shall indemnify and hold harmless Indemnitee against all Expenses actually and reasonably incurred by or on behalf of Indemnitee in connection therewith. If Indemnitee is not wholly successful in such Proceeding but is successful, on the merits or otherwise, as to one or more but less than all claims, issues or matters in such Proceeding, the Company shall indemnify and hold harmless Indemnitee against all Expenses actually and reasonably incurred by Indemnitee or on behalf of Indemnitee in connection with each successfully resolved claim, issue or matter. For purposes of this Section 5 and without prejudice to Section 13(c), the termination of any claim, issue or matter in such a Proceeding by dismissal, with or without prejudice, shall be deemed to be a successful result as to such claim, issue or matter.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ind w:left="-20" w:right="100" w:firstLine="656"/>
        <w:spacing w:after="0" w:line="303" w:lineRule="auto"/>
        <w:tabs>
          <w:tab w:leader="none" w:pos="988"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INDEMNIFICATION FOR EXPENSES OF A WITNESS</w:t>
      </w:r>
      <w:r>
        <w:rPr>
          <w:rFonts w:ascii="Arial" w:cs="Arial" w:eastAsia="Arial" w:hAnsi="Arial"/>
          <w:sz w:val="16"/>
          <w:szCs w:val="16"/>
          <w:color w:val="auto"/>
        </w:rPr>
        <w:t>. Notwithstanding any other provision of this Agreement, to the extent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is, by reason of his or her Corporate Status, a witness, deponent or interviewee, or is made (or asked) to respond to discovery, interrogatory, interview or other similar requests for information, in any Proceeding to which Indemnitee is not a party, Indemnitee shall be indemnified and held harmless to the fullest extent permitted by applicable law against all Expenses actually and reasonably incurred by or on behalf of Indemnitee in connection therewith.</w:t>
      </w:r>
    </w:p>
    <w:p>
      <w:pPr>
        <w:spacing w:after="0" w:line="151" w:lineRule="exact"/>
        <w:rPr>
          <w:rFonts w:ascii="Arial" w:cs="Arial" w:eastAsia="Arial" w:hAnsi="Arial"/>
          <w:sz w:val="16"/>
          <w:szCs w:val="16"/>
          <w:color w:val="auto"/>
        </w:rPr>
      </w:pPr>
    </w:p>
    <w:p>
      <w:pPr>
        <w:ind w:left="-20" w:right="40" w:firstLine="656"/>
        <w:spacing w:after="0" w:line="291" w:lineRule="auto"/>
        <w:tabs>
          <w:tab w:leader="none" w:pos="978"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ADDITIONAL INDEMNIFICATION</w:t>
      </w:r>
      <w:r>
        <w:rPr>
          <w:rFonts w:ascii="Arial" w:cs="Arial" w:eastAsia="Arial" w:hAnsi="Arial"/>
          <w:sz w:val="16"/>
          <w:szCs w:val="16"/>
          <w:color w:val="auto"/>
        </w:rPr>
        <w:t>. Notwithstanding any limitation in Sections 3, 4, or 5, and in addition to, and separate and apart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indemnification provided by any other provision of this Agreement, the Charter, the By-Laws or applicable law, the Company shall indemnify and hold harmless, to the fullest extent permitted by law,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if, by reason of Indemnitee’s Corporate Status, Indemnitee is a party to or threatened to be made a party to any Proceeding (including a Proceeding by or in the right of the Company to procure a judgment in its favor). The only limitation that shall exist upon the Company’s obligations pursuant to this Agreement shall be that the Company shall not be obligated to make any payment to Indemnitee that is finally determined (under the procedures, and subject to the presumptions, set forth in Sections 12, 13 and 14) to be unlawful.</w:t>
      </w:r>
    </w:p>
    <w:p>
      <w:pPr>
        <w:spacing w:after="0" w:line="160" w:lineRule="exact"/>
        <w:rPr>
          <w:rFonts w:ascii="Arial" w:cs="Arial" w:eastAsia="Arial" w:hAnsi="Arial"/>
          <w:sz w:val="16"/>
          <w:szCs w:val="16"/>
          <w:color w:val="auto"/>
        </w:rPr>
      </w:pPr>
    </w:p>
    <w:p>
      <w:pPr>
        <w:ind w:left="1000" w:hanging="36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0" w:right="200" w:firstLine="1025"/>
        <w:spacing w:after="0" w:line="276" w:lineRule="auto"/>
        <w:tabs>
          <w:tab w:leader="none" w:pos="1419" w:val="left"/>
        </w:tabs>
        <w:numPr>
          <w:ilvl w:val="1"/>
          <w:numId w:val="9"/>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whether or not the indemnification rights provided for in this Agreement are available to Indemnitee in any Proceeding in which the Company is jointly liable with Indemnitee (or would be if joined in such Proceeding), the Company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72" w:lineRule="exact"/>
        <w:rPr>
          <w:rFonts w:ascii="Arial" w:cs="Arial" w:eastAsia="Arial" w:hAnsi="Arial"/>
          <w:sz w:val="17"/>
          <w:szCs w:val="17"/>
          <w:color w:val="auto"/>
        </w:rPr>
      </w:pPr>
    </w:p>
    <w:p>
      <w:pPr>
        <w:ind w:left="-20" w:firstLine="1025"/>
        <w:spacing w:after="0" w:line="270" w:lineRule="auto"/>
        <w:tabs>
          <w:tab w:leader="none" w:pos="1429" w:val="left"/>
        </w:tabs>
        <w:numPr>
          <w:ilvl w:val="1"/>
          <w:numId w:val="9"/>
        </w:numPr>
        <w:rPr>
          <w:rFonts w:ascii="Arial" w:cs="Arial" w:eastAsia="Arial" w:hAnsi="Arial"/>
          <w:sz w:val="17"/>
          <w:szCs w:val="17"/>
          <w:color w:val="auto"/>
        </w:rPr>
      </w:pPr>
      <w:r>
        <w:rPr>
          <w:rFonts w:ascii="Arial" w:cs="Arial" w:eastAsia="Arial" w:hAnsi="Arial"/>
          <w:sz w:val="17"/>
          <w:szCs w:val="17"/>
          <w:color w:val="auto"/>
        </w:rPr>
        <w:t xml:space="preserve">Without diminishing or impairing the obligations of the Company set forth in Section 8(a), if for any reason Indemnitee shall elect or be required to pay all or any portion of any judgment or settlement in any Proceeding in which the Company is jointly liable with Indemnitee (or would be if joined in such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or events from which such Proceeding arose;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events that resulted in such Expenses, judgments, fines or settlement amounts, as well as any other equitable considerations which applicable law may require to be considered.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0" w:right="239" w:bottom="1440" w:gutter="0" w:footer="0" w:header="0"/>
        </w:sectPr>
      </w:pPr>
    </w:p>
    <w:bookmarkStart w:id="10" w:name="page11"/>
    <w:bookmarkEnd w:id="10"/>
    <w:p>
      <w:pPr>
        <w:ind w:left="-20" w:firstLine="980"/>
        <w:spacing w:after="0" w:line="277" w:lineRule="auto"/>
        <w:tabs>
          <w:tab w:leader="none" w:pos="137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left="-20" w:right="80" w:firstLine="980"/>
        <w:spacing w:after="0" w:line="277" w:lineRule="auto"/>
        <w:tabs>
          <w:tab w:leader="none" w:pos="13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hereby agrees fully to indemnify and hold harmless Indemnitee from any claims for contribution which may be brought by officers, directors or employees of the Company other than Indemnitee who may be jointly liable with Indemnitee.</w:t>
      </w:r>
    </w:p>
    <w:p>
      <w:pPr>
        <w:spacing w:after="0" w:line="166" w:lineRule="exact"/>
        <w:rPr>
          <w:rFonts w:ascii="Arial" w:cs="Arial" w:eastAsia="Arial" w:hAnsi="Arial"/>
          <w:sz w:val="18"/>
          <w:szCs w:val="18"/>
          <w:color w:val="auto"/>
        </w:rPr>
      </w:pPr>
    </w:p>
    <w:p>
      <w:pPr>
        <w:ind w:left="-20" w:right="380" w:firstLine="656"/>
        <w:spacing w:after="0" w:line="282" w:lineRule="auto"/>
        <w:tabs>
          <w:tab w:leader="none" w:pos="98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indemnity in connection with any claim made against Indemnitee:</w:t>
      </w:r>
    </w:p>
    <w:p>
      <w:pPr>
        <w:spacing w:after="0" w:line="165" w:lineRule="exact"/>
        <w:rPr>
          <w:rFonts w:ascii="Arial" w:cs="Arial" w:eastAsia="Arial" w:hAnsi="Arial"/>
          <w:sz w:val="18"/>
          <w:szCs w:val="18"/>
          <w:b w:val="1"/>
          <w:bCs w:val="1"/>
          <w:color w:val="auto"/>
        </w:rPr>
      </w:pPr>
    </w:p>
    <w:p>
      <w:pPr>
        <w:ind w:left="-20" w:right="360" w:firstLine="980"/>
        <w:spacing w:after="0" w:line="264" w:lineRule="auto"/>
        <w:tabs>
          <w:tab w:leader="none" w:pos="13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81" w:lineRule="exact"/>
        <w:rPr>
          <w:rFonts w:ascii="Arial" w:cs="Arial" w:eastAsia="Arial" w:hAnsi="Arial"/>
          <w:sz w:val="18"/>
          <w:szCs w:val="18"/>
          <w:color w:val="auto"/>
        </w:rPr>
      </w:pPr>
    </w:p>
    <w:p>
      <w:pPr>
        <w:ind w:left="-20" w:right="80" w:firstLine="980"/>
        <w:spacing w:after="0" w:line="264" w:lineRule="auto"/>
        <w:tabs>
          <w:tab w:leader="none" w:pos="13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an accounting or disgorgement of profits made from the purchase and sale (or sale and purchase) by Indemnitee of securities of the Company within the meaning of Section 16(b) of the Exchange Act or similar provisions of federal, state or local statutory law or common law if Indemnitee is held liable therefor (including pursuant to any settlement arrangements);</w:t>
      </w:r>
    </w:p>
    <w:p>
      <w:pPr>
        <w:spacing w:after="0" w:line="181" w:lineRule="exact"/>
        <w:rPr>
          <w:rFonts w:ascii="Arial" w:cs="Arial" w:eastAsia="Arial" w:hAnsi="Arial"/>
          <w:sz w:val="18"/>
          <w:szCs w:val="18"/>
          <w:color w:val="auto"/>
        </w:rPr>
      </w:pPr>
    </w:p>
    <w:p>
      <w:pPr>
        <w:jc w:val="both"/>
        <w:ind w:left="-20" w:right="80" w:firstLine="980"/>
        <w:spacing w:after="0" w:line="302" w:lineRule="auto"/>
        <w:tabs>
          <w:tab w:leader="none" w:pos="137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Except as otherwise provided in Sections 10(a) and 14(e)-(f),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relevant part of the Proceeding) prior to its initiation, (ii) the Company provides the indemnification, in its sole discretion, pursuant to the powers vested in the Company under applicable law or (iii) otherwise required by applicable law;</w:t>
      </w:r>
    </w:p>
    <w:p>
      <w:pPr>
        <w:spacing w:after="0" w:line="154" w:lineRule="exact"/>
        <w:rPr>
          <w:rFonts w:ascii="Arial" w:cs="Arial" w:eastAsia="Arial" w:hAnsi="Arial"/>
          <w:sz w:val="16"/>
          <w:szCs w:val="16"/>
          <w:color w:val="auto"/>
        </w:rPr>
      </w:pPr>
    </w:p>
    <w:p>
      <w:pPr>
        <w:ind w:left="-20" w:right="60" w:firstLine="980"/>
        <w:spacing w:after="0" w:line="255" w:lineRule="auto"/>
        <w:tabs>
          <w:tab w:leader="none" w:pos="13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8"/>
          <w:szCs w:val="18"/>
          <w:b w:val="1"/>
          <w:bCs w:val="1"/>
          <w:i w:val="1"/>
          <w:iCs w:val="1"/>
          <w:color w:val="auto"/>
        </w:rPr>
        <w:t>Sarbanes-Oxley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Section 954 of the Dodd-Frank Wall Street Reform and Consumer Protection Act, or the payment to the Company of profits arising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and sale by Indemnitee of securities in violation of Section 306 of the Sarbanes-Oxley Act), if Indemnitee is held liable therefor (including pursuant to any settlement arrangements); or</w:t>
      </w:r>
    </w:p>
    <w:p>
      <w:pPr>
        <w:spacing w:after="0" w:line="193" w:lineRule="exact"/>
        <w:rPr>
          <w:rFonts w:ascii="Arial" w:cs="Arial" w:eastAsia="Arial" w:hAnsi="Arial"/>
          <w:sz w:val="18"/>
          <w:szCs w:val="18"/>
          <w:color w:val="auto"/>
        </w:rPr>
      </w:pPr>
    </w:p>
    <w:p>
      <w:pPr>
        <w:ind w:left="1380" w:hanging="420"/>
        <w:spacing w:after="0"/>
        <w:tabs>
          <w:tab w:leader="none" w:pos="13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11" w:name="page12"/>
    <w:bookmarkEnd w:id="11"/>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40" w:firstLine="1142"/>
        <w:spacing w:after="0" w:line="268" w:lineRule="auto"/>
        <w:tabs>
          <w:tab w:leader="none" w:pos="1559" w:val="left"/>
        </w:tabs>
        <w:numPr>
          <w:ilvl w:val="1"/>
          <w:numId w:val="12"/>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and to the fullest extent permitted by applicable law, the Company shall advance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(which request shall, to the extent possible,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whether prior to or after final disposition of any Proceeding. Advances shall be unsecured and interest free. Advances shall be made without regard to Indemnitee’s ability to repay the Expenses, without regard to Indemnitee’s ultimate entitlement to indemnification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The Indemnitee shall qualify for advances, to the fullest extent permitted by applicable law upon the execution and delivery to the Company of an undertaking, and Indemnitee hereby undertakes, to repay the advance to the extent that it is ultimately determined that Indemnitee is not entitled to be indemnified by the Company under the provisions of this Agreement, the Charter, the By-Laws, applicable law or otherwise. This Section 10(a) shall not apply to any claim made by Indemnitee for which indemnity is excluded pursuant to Section 9.</w:t>
      </w:r>
    </w:p>
    <w:p>
      <w:pPr>
        <w:spacing w:after="0" w:line="187" w:lineRule="exact"/>
        <w:rPr>
          <w:rFonts w:ascii="Arial" w:cs="Arial" w:eastAsia="Arial" w:hAnsi="Arial"/>
          <w:sz w:val="17"/>
          <w:szCs w:val="17"/>
          <w:color w:val="auto"/>
        </w:rPr>
      </w:pPr>
    </w:p>
    <w:p>
      <w:pPr>
        <w:ind w:firstLine="1142"/>
        <w:spacing w:after="0" w:line="289" w:lineRule="auto"/>
        <w:tabs>
          <w:tab w:leader="none" w:pos="1569"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In the event the Company shall be obligated hereunder to pay the Expenses in connection with any Proceeding, the Company shall be entitled to assume the defense of such Proceeding, with counsel reasonably approved by Indemnitee, upon the delivery to Indemnitee of written notice of its election to do so. After delivery of such notice, approval of such counsel by Indemnitee and the retention of such counsel by the Company, the Company will not be liable to Indemnitee under this Agreement for any fees of counsel subsequently incurred by Indemnitee with respect to the same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i w:val="1"/>
          <w:iCs w:val="1"/>
          <w:color w:val="auto"/>
        </w:rPr>
        <w:t>,</w:t>
      </w:r>
      <w:r>
        <w:rPr>
          <w:rFonts w:ascii="Arial" w:cs="Arial" w:eastAsia="Arial" w:hAnsi="Arial"/>
          <w:sz w:val="16"/>
          <w:szCs w:val="16"/>
          <w:color w:val="auto"/>
        </w:rPr>
        <w:t xml:space="preserve"> (i) Indemnitee shall have the right to employ Indemnitee’s own counsel in any such Proceeding at Indemnitee’s expense; and (ii) Indemnitee shall have the right to retain its own counsel (including separate counsel) at the expense of the Company if either (A) the employment of counsel by Indemnitee has been authorized by the Company (which authorization shall not be unreasonably withheld), (B) Indemnitee shall have reasonably concluded that there is a conflict of interest between the Company and Indemnitee in the conduct of any such defense or (C) the Company shall fail to continue to retain counsel to defend such Proceeding or shall fail to promptly undertake to defend such Proceeding or thereafter fail to diligently pursue or maintain such defense.</w:t>
      </w:r>
    </w:p>
    <w:p>
      <w:pPr>
        <w:spacing w:after="0" w:line="166" w:lineRule="exact"/>
        <w:rPr>
          <w:rFonts w:ascii="Arial" w:cs="Arial" w:eastAsia="Arial" w:hAnsi="Arial"/>
          <w:sz w:val="16"/>
          <w:szCs w:val="16"/>
          <w:color w:val="auto"/>
        </w:rPr>
      </w:pPr>
    </w:p>
    <w:p>
      <w:pPr>
        <w:ind w:right="180" w:firstLine="1142"/>
        <w:spacing w:after="0" w:line="255" w:lineRule="auto"/>
        <w:tabs>
          <w:tab w:leader="none" w:pos="1556"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The Company shall not settle or consent to an order in any action, claim or Proceeding (in whole or in part) which would impose any Expense, judgment, fine, penalty or limitation on Indemnitee without Indemnitee’s prior written consent, which consent shall not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such consent will not be required if (x) the Company agrees in writing to pay any amounts payable pursuant to such settlement, compromise or order, (y) such settlement, compromise or order includes a full, complete and unconditional release of Indemnitee from further liability with respect to such Proceeding, and (z) such settlement, compromise or order does not impose any injunctive relief or operational restrictions on Indemnitee or admit to any wrongdoing by or on behalf of Indemnitee.</w:t>
      </w:r>
    </w:p>
    <w:p>
      <w:pPr>
        <w:spacing w:after="0" w:line="189" w:lineRule="exact"/>
        <w:rPr>
          <w:rFonts w:ascii="Arial" w:cs="Arial" w:eastAsia="Arial" w:hAnsi="Arial"/>
          <w:sz w:val="18"/>
          <w:szCs w:val="18"/>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1142"/>
        <w:spacing w:after="0" w:line="257" w:lineRule="auto"/>
        <w:tabs>
          <w:tab w:leader="none" w:pos="1559"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Indemnitee agrees to provide the Company written notice in accordance with Section 21 upon being served with any summons, citation, subpoena, complaint, indictment, information or other document relating to any Proceeding or Indemnitee becomes aware of any matter which may be subject to indemnification or advancement of Expenses covered hereunder. The failure of Indemnitee to so notify the Company shall not relieve the Company of any obligation which it may have to Indemnitee under this Agreement, or otherwise, except to the extent that such failure or delay materially prejudices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ind w:left="-20" w:right="20" w:firstLine="1142"/>
        <w:spacing w:after="0" w:line="259" w:lineRule="auto"/>
        <w:tabs>
          <w:tab w:leader="none" w:pos="1549"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Indemnitee may deliver to the Company a written application to indemnify and hold harmless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w:t>
      </w:r>
    </w:p>
    <w:p>
      <w:pPr>
        <w:spacing w:after="0" w:line="182" w:lineRule="exact"/>
        <w:rPr>
          <w:rFonts w:ascii="Arial" w:cs="Arial" w:eastAsia="Arial" w:hAnsi="Arial"/>
          <w:sz w:val="18"/>
          <w:szCs w:val="18"/>
          <w:color w:val="auto"/>
        </w:rPr>
      </w:pPr>
    </w:p>
    <w:p>
      <w:pPr>
        <w:ind w:left="1080" w:hanging="44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PROCEDURE UPON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0" w:firstLine="1142"/>
        <w:spacing w:after="0" w:line="286" w:lineRule="auto"/>
        <w:tabs>
          <w:tab w:leader="none" w:pos="1529" w:val="left"/>
        </w:tabs>
        <w:numPr>
          <w:ilvl w:val="1"/>
          <w:numId w:val="14"/>
        </w:numPr>
        <w:rPr>
          <w:rFonts w:ascii="Arial" w:cs="Arial" w:eastAsia="Arial" w:hAnsi="Arial"/>
          <w:sz w:val="16"/>
          <w:szCs w:val="16"/>
          <w:color w:val="auto"/>
        </w:rPr>
      </w:pPr>
      <w:r>
        <w:rPr>
          <w:rFonts w:ascii="Arial" w:cs="Arial" w:eastAsia="Arial" w:hAnsi="Arial"/>
          <w:sz w:val="16"/>
          <w:szCs w:val="16"/>
          <w:color w:val="auto"/>
        </w:rPr>
        <w:t>A determination with respect to Indemnitee’s entitlement to indemnification shall be made in the specific case by one of the following methods: (i) if a Change in Control shall have occurred, by Independent Counsel in a written opinion to the Board, a copy of which shall be delivered to Indemnitee or (ii) if a Change in Control shall not have occurred, at the election of the Board,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or (C) by Independent Counsel in a written opinion to the Company’s board of directors, a copy of which shall be delivered to Indemnitee. Unless the determination is made by Independent Counsel,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or Persons making such determination with respect to Indemnitee’s entitlement to indemnification, including providing to such Person or Persons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or Persons making such determination shall be borne by the Company (irrespective of the determination as to Indemnitee’s entitlement to indemnification) and the Company hereby indemnifies and agrees to hold Indemnitee harmless therefrom.</w:t>
      </w:r>
    </w:p>
    <w:p>
      <w:pPr>
        <w:spacing w:after="0" w:line="171" w:lineRule="exact"/>
        <w:rPr>
          <w:rFonts w:ascii="Arial" w:cs="Arial" w:eastAsia="Arial" w:hAnsi="Arial"/>
          <w:sz w:val="16"/>
          <w:szCs w:val="16"/>
          <w:color w:val="auto"/>
        </w:rPr>
      </w:pPr>
    </w:p>
    <w:p>
      <w:pPr>
        <w:ind w:left="-20" w:right="40" w:firstLine="1142"/>
        <w:spacing w:after="0" w:line="267" w:lineRule="auto"/>
        <w:tabs>
          <w:tab w:leader="none" w:pos="1549"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In the event the determination of entitlement to indemnification is to be made by Independent Counsel pursuant to Section 12(a), the Independent Counsel shall be selected as provided in this Section l2(b). The Independent Counsel shall be selected (i) if a Change in Control shall have occurred, by Indemnitee, or (ii) if a Change in Control shall not have occurred, by the Board. The party that selected the Independent Counsel shall deliver written notice to the party that did not select the Independent Counsel setting forth the identity of the proposed Independent Counsel and a certification that such proposal satisfies the requirements of “Independent Counsel” as defined in Section 2. The party receiving such notice may, within ten (10) days after receipt, deliver to the Company or to Indemnitee, as the case may be, a written objection to such selection;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objection may be asserted only on the ground that the Independent Counsel so selected does not meet the requirements of “Independent Counsel” as defined in Section 2,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submission by Indemnitee of a written request for indemnification pursuant to Section 11(a),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l2(a). Upon the delivery of its opinion pursuant to Section 12(a) or, if earlier, the due commencement of any judicial proceeding or arbitration pursuant to Section 14(a), Independent Counsel shall be discharged and relieved of any further responsibility in such capacity (subject to the applicable standards of professional conduct then prevailing).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13" w:name="page14"/>
    <w:bookmarkEnd w:id="13"/>
    <w:p>
      <w:pPr>
        <w:ind w:left="-20" w:right="240" w:firstLine="1142"/>
        <w:spacing w:after="0" w:line="264" w:lineRule="auto"/>
        <w:tabs>
          <w:tab w:leader="none" w:pos="15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1" w:lineRule="exact"/>
        <w:rPr>
          <w:rFonts w:ascii="Arial" w:cs="Arial" w:eastAsia="Arial" w:hAnsi="Arial"/>
          <w:sz w:val="18"/>
          <w:szCs w:val="18"/>
          <w:color w:val="auto"/>
        </w:rPr>
      </w:pPr>
    </w:p>
    <w:p>
      <w:pPr>
        <w:ind w:left="-20" w:right="280" w:firstLine="1142"/>
        <w:spacing w:after="0" w:line="277" w:lineRule="auto"/>
        <w:tabs>
          <w:tab w:leader="none" w:pos="1549"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the Company disputes a portion of the amounts for which indemnification is requested, the undisputed portion shall be paid by the Company and only the disputed portion withheld pending resolution of any such dispute.</w:t>
      </w:r>
    </w:p>
    <w:p>
      <w:pPr>
        <w:spacing w:after="0" w:line="166" w:lineRule="exact"/>
        <w:rPr>
          <w:rFonts w:ascii="Arial" w:cs="Arial" w:eastAsia="Arial" w:hAnsi="Arial"/>
          <w:sz w:val="18"/>
          <w:szCs w:val="18"/>
          <w:color w:val="auto"/>
        </w:rPr>
      </w:pPr>
    </w:p>
    <w:p>
      <w:pPr>
        <w:ind w:left="1080" w:hanging="44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0" w:right="60" w:firstLine="1142"/>
        <w:spacing w:after="0" w:line="254" w:lineRule="auto"/>
        <w:tabs>
          <w:tab w:leader="none" w:pos="15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making a determination with respect to entitlement to indemnification hereunder, the Person or Persons making such determination shall, to the fullest extent not prohibited by law, presume that Indemnitee is entitled to indemnification under this Agreement, and the Company, to the fullest extent not prohibited by law, shall have the burden of proof to overcome that presumption in connection with the making by any Person or Persons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2" w:lineRule="exact"/>
        <w:rPr>
          <w:rFonts w:ascii="Arial" w:cs="Arial" w:eastAsia="Arial" w:hAnsi="Arial"/>
          <w:sz w:val="18"/>
          <w:szCs w:val="18"/>
          <w:color w:val="auto"/>
        </w:rPr>
      </w:pPr>
    </w:p>
    <w:p>
      <w:pPr>
        <w:ind w:left="-20" w:firstLine="1142"/>
        <w:spacing w:after="0" w:line="254" w:lineRule="auto"/>
        <w:tabs>
          <w:tab w:leader="none" w:pos="15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If the Person or Persons empowered or selected under Section 12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30-day period may be extended for a reasonable time, not to exceed an additional fifteen (15) days, if the Person or Persons making the determination with respect to entitlement to indemnification in good faith requires such additional time for the obtaining or evaluating of documentation and/or information relating thereto.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14" w:name="page15"/>
    <w:bookmarkEnd w:id="14"/>
    <w:p>
      <w:pPr>
        <w:ind w:left="-20" w:right="140" w:firstLine="1142"/>
        <w:spacing w:after="0" w:line="257" w:lineRule="auto"/>
        <w:tabs>
          <w:tab w:leader="none" w:pos="15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acknowledges that a settlement or other disposition short of final judgment may be successful if it permits a party to avoid expense, delay, distraction, disruption and uncertainty. In the event that any Proceeding to which Indemnitee is a party is resolved in any manner other than by adverse judgment against Indemnitee (including, without limitation, settlement of such Proceeding with or without payment of money or other consideration) it shall be presumed that Indemnitee has been successful on the merits or otherwise in such Proceeding. Anyone seeking to overcome this presumption shall have the burden of proof and the burden of persuasion.</w:t>
      </w:r>
    </w:p>
    <w:p>
      <w:pPr>
        <w:spacing w:after="0" w:line="188" w:lineRule="exact"/>
        <w:rPr>
          <w:rFonts w:ascii="Arial" w:cs="Arial" w:eastAsia="Arial" w:hAnsi="Arial"/>
          <w:sz w:val="18"/>
          <w:szCs w:val="18"/>
          <w:color w:val="auto"/>
        </w:rPr>
      </w:pPr>
    </w:p>
    <w:p>
      <w:pPr>
        <w:ind w:left="-20" w:right="100" w:firstLine="1142"/>
        <w:spacing w:after="0" w:line="257" w:lineRule="auto"/>
        <w:tabs>
          <w:tab w:leader="none" w:pos="15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8" w:lineRule="exact"/>
        <w:rPr>
          <w:rFonts w:ascii="Arial" w:cs="Arial" w:eastAsia="Arial" w:hAnsi="Arial"/>
          <w:sz w:val="18"/>
          <w:szCs w:val="18"/>
          <w:color w:val="auto"/>
        </w:rPr>
      </w:pPr>
    </w:p>
    <w:p>
      <w:pPr>
        <w:ind w:left="-20" w:firstLine="1142"/>
        <w:spacing w:after="0" w:line="270" w:lineRule="auto"/>
        <w:tabs>
          <w:tab w:leader="none" w:pos="1539"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purposes of any determination of good faith, Indemnitee shall be deemed to have acted in good faith to the extent Indemnitee relied in good faith on (i) the records or books of account of the Enterprise, including financial statements, (ii) the information supplied to Indemnitee by the officers of the Enterprise in the course of their duties, (iii) the advice of legal counsel for the Enterprise or the Board (or any committee thereof), (iv) information or records given or reports made to the Enterprise by an independent certified public accountant or by an appraiser, investment banker or other expert selected with reasonable care by the Enterprise or the Board (or any committee thereof). In addition, the knowledge and/or actions, or failure to act, of any director, officer, agent or employee of the Enterprise shall not be imputed to Indemnitee for purposes of determining the right to indemnification under this Agreement. The provisions of this Section 13(e) shall not be deemed to be exclusive or to limit in any way the other circumstances in which Indemnitee may be deemed or found to have met the applicable standard of conduct set forth in this Agreement and whether or not the foregoing provisions of this Section 13(e) are satisfied, it shall in any event be presumed that Indemnitee has at all times acted in good faith and in a manner Indemnitee reasonably believed to be in or not opposed to the best interests of the Company.</w:t>
      </w:r>
    </w:p>
    <w:p>
      <w:pPr>
        <w:spacing w:after="0" w:line="177" w:lineRule="exact"/>
        <w:rPr>
          <w:rFonts w:ascii="Arial" w:cs="Arial" w:eastAsia="Arial" w:hAnsi="Arial"/>
          <w:sz w:val="17"/>
          <w:szCs w:val="17"/>
          <w:color w:val="auto"/>
        </w:rPr>
      </w:pPr>
    </w:p>
    <w:p>
      <w:pPr>
        <w:ind w:left="-20" w:right="400" w:firstLine="1142"/>
        <w:spacing w:after="0" w:line="342" w:lineRule="auto"/>
        <w:tabs>
          <w:tab w:leader="none" w:pos="15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23" w:lineRule="exact"/>
        <w:rPr>
          <w:rFonts w:ascii="Arial" w:cs="Arial" w:eastAsia="Arial" w:hAnsi="Arial"/>
          <w:sz w:val="16"/>
          <w:szCs w:val="16"/>
          <w:color w:val="auto"/>
        </w:rPr>
      </w:pPr>
    </w:p>
    <w:p>
      <w:pPr>
        <w:ind w:left="-20" w:right="20" w:firstLine="1142"/>
        <w:spacing w:after="0" w:line="277" w:lineRule="auto"/>
        <w:tabs>
          <w:tab w:leader="none" w:pos="15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is the intent of this Agreement to secure for Indemnitee rights of indemnity that are as favorable as may be permitted under the DGCL and public policy of the State of Delaware.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15" w:name="page16"/>
    <w:bookmarkEnd w:id="15"/>
    <w:p>
      <w:pPr>
        <w:ind w:left="1080" w:hanging="44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0" w:right="40" w:firstLine="1142"/>
        <w:spacing w:after="0" w:line="288" w:lineRule="auto"/>
        <w:tabs>
          <w:tab w:leader="none" w:pos="1539"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 the event that (i) a determination is made pursuant to Section 12 that Indemnitee is not entitled to indemnification under this Agreement, (ii) advancement of Expenses, to the fullest extent permitted by applicable law, is not timely made pursuant to Section 10, (iii) no determination of entitlement to indemnification shall have been made pursuant to Section 12(a) within thirty (30) days after receipt by the Company of the request for indemnification, (iv) payment of indemnification is not made pursuant to Section 5, 6, 7 or the last sentence of Section 12(a) within ten (10) days after receipt by the Company of a written request therefor, (v) a contribution payment is not made in a timely manner pursuant to Section 8, or (vi) payment of indemnification pursuant to Section 3 or Section 4 is not made within ten (10) days after a determination has been made that Indemnitee is entitled to indemnification, Indemnitee shall be entitled to an adjudication by the Delaware Court as to Indemnitee’s rights to such indemnification, contribution or advancement of Expenses. Alternatively, if the Company agrees (in its sole discretion) to submit to arbitration, Indemnitee may also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w:t>
      </w:r>
    </w:p>
    <w:p>
      <w:pPr>
        <w:spacing w:after="0" w:line="169" w:lineRule="exact"/>
        <w:rPr>
          <w:rFonts w:ascii="Arial" w:cs="Arial" w:eastAsia="Arial" w:hAnsi="Arial"/>
          <w:sz w:val="16"/>
          <w:szCs w:val="16"/>
          <w:color w:val="auto"/>
        </w:rPr>
      </w:pPr>
    </w:p>
    <w:p>
      <w:pPr>
        <w:ind w:left="-20" w:firstLine="1142"/>
        <w:spacing w:after="0" w:line="270" w:lineRule="auto"/>
        <w:tabs>
          <w:tab w:leader="none" w:pos="1549" w:val="left"/>
        </w:tabs>
        <w:numPr>
          <w:ilvl w:val="1"/>
          <w:numId w:val="18"/>
        </w:numPr>
        <w:rPr>
          <w:rFonts w:ascii="Arial" w:cs="Arial" w:eastAsia="Arial" w:hAnsi="Arial"/>
          <w:sz w:val="17"/>
          <w:szCs w:val="17"/>
          <w:color w:val="auto"/>
        </w:rPr>
      </w:pPr>
      <w:r>
        <w:rPr>
          <w:rFonts w:ascii="Arial" w:cs="Arial" w:eastAsia="Arial" w:hAnsi="Arial"/>
          <w:sz w:val="17"/>
          <w:szCs w:val="17"/>
          <w:color w:val="auto"/>
        </w:rPr>
        <w:t>In the event that a determination shall have been made pursuant to Section 12(a)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and held harmless and to receive advances of Expenses under this Agreement and the Company shall have the burden of proving Indemnitee is not entitled to indemnification or advancement of Expenses, as the case may be, and the Company may not refer to or introduce into evidence any determination pursuant to Section 12(a)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1" w:lineRule="exact"/>
        <w:rPr>
          <w:rFonts w:ascii="Arial" w:cs="Arial" w:eastAsia="Arial" w:hAnsi="Arial"/>
          <w:sz w:val="17"/>
          <w:szCs w:val="17"/>
          <w:color w:val="auto"/>
        </w:rPr>
      </w:pPr>
    </w:p>
    <w:p>
      <w:pPr>
        <w:ind w:left="-20" w:right="60" w:firstLine="1142"/>
        <w:spacing w:after="0" w:line="279" w:lineRule="auto"/>
        <w:tabs>
          <w:tab w:leader="none" w:pos="1539" w:val="left"/>
        </w:tabs>
        <w:numPr>
          <w:ilvl w:val="1"/>
          <w:numId w:val="18"/>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1" w:lineRule="exact"/>
        <w:rPr>
          <w:rFonts w:ascii="Arial" w:cs="Arial" w:eastAsia="Arial" w:hAnsi="Arial"/>
          <w:sz w:val="17"/>
          <w:szCs w:val="17"/>
          <w:color w:val="auto"/>
        </w:rPr>
      </w:pPr>
    </w:p>
    <w:p>
      <w:pPr>
        <w:ind w:left="-20" w:firstLine="1142"/>
        <w:spacing w:after="0" w:line="264" w:lineRule="auto"/>
        <w:tabs>
          <w:tab w:leader="none" w:pos="1546"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0" w:right="259" w:bottom="1440" w:gutter="0" w:footer="0" w:header="0"/>
        </w:sectPr>
      </w:pPr>
    </w:p>
    <w:bookmarkStart w:id="16" w:name="page17"/>
    <w:bookmarkEnd w:id="16"/>
    <w:p>
      <w:pPr>
        <w:ind w:left="-20" w:firstLine="1142"/>
        <w:spacing w:after="0" w:line="255" w:lineRule="auto"/>
        <w:tabs>
          <w:tab w:leader="none" w:pos="153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shall indemnify and hold harmless Indemnitee to the fullest extent permitted by law against all Expenses and, if requested by Indemnitee, shall (within ten (10) days after the Company’s receipt of such written request) advance to Indemnitee, to the fullest extent permitted by applicable law, such Expenses which are incurred by Indemnitee in connection with any judicial proceeding or arbitration brought by Indemnitee (i) to enforce Indemnitee’s rights under, or to recover damages for breach of, this Agreement or any other indemnification, advancement or contribution agreement or provision of the Company’s Charter or By-Laws now or hereafter in effect; or (ii) for recovery or advances under any insurance policy maintained by any Person for the benefit of Indemnitee, regardless of whether Indemnitee ultimately is determined to be entitled to such indemnification, advancement, contribution or insurance recovery, as the case may be.</w:t>
      </w:r>
    </w:p>
    <w:p>
      <w:pPr>
        <w:spacing w:after="0" w:line="189" w:lineRule="exact"/>
        <w:rPr>
          <w:rFonts w:ascii="Arial" w:cs="Arial" w:eastAsia="Arial" w:hAnsi="Arial"/>
          <w:sz w:val="18"/>
          <w:szCs w:val="18"/>
          <w:color w:val="auto"/>
        </w:rPr>
      </w:pPr>
    </w:p>
    <w:p>
      <w:pPr>
        <w:ind w:left="-20" w:right="20" w:firstLine="1142"/>
        <w:spacing w:after="0" w:line="312" w:lineRule="auto"/>
        <w:tabs>
          <w:tab w:leader="none" w:pos="1519"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Interest shall be paid by the Company to Indemnitee at the legal rate under Delaware law for amounts which the Company indemnifies or is obliged to indemnify for the period commencing with the date on which Indemnitee pays such amounts for which Indemnitee requested indemnification, contribution, reimbursement or advancement of any Expenses and ending with the date on which such payment is made to Indemnitee by the Company.</w:t>
      </w:r>
    </w:p>
    <w:p>
      <w:pPr>
        <w:spacing w:after="0" w:line="142" w:lineRule="exact"/>
        <w:rPr>
          <w:rFonts w:ascii="Arial" w:cs="Arial" w:eastAsia="Arial" w:hAnsi="Arial"/>
          <w:sz w:val="16"/>
          <w:szCs w:val="16"/>
          <w:color w:val="auto"/>
        </w:rPr>
      </w:pPr>
    </w:p>
    <w:p>
      <w:pPr>
        <w:ind w:left="-20" w:right="20" w:firstLine="656"/>
        <w:spacing w:after="0" w:line="258" w:lineRule="auto"/>
        <w:tabs>
          <w:tab w:leader="none" w:pos="1078"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to the extent requested by Indemnitee and approved by the Board,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at any time and from time to time provide security to Indemnitee for the Company’s obligations hereunder through an irrevocable bank line of credit, funded trust or other collateral. Any such security, once provided to Indemnitee, may not be revoked or released (i) without the prior written consent of Indemnitee or (ii) unless the Company has fully satisfied its obligations pursuant to this Agreement with respect to the Proceeding for which indemnification was sought.</w:t>
      </w:r>
    </w:p>
    <w:p>
      <w:pPr>
        <w:spacing w:after="0" w:line="183" w:lineRule="exact"/>
        <w:rPr>
          <w:rFonts w:ascii="Arial" w:cs="Arial" w:eastAsia="Arial" w:hAnsi="Arial"/>
          <w:sz w:val="18"/>
          <w:szCs w:val="18"/>
          <w:color w:val="auto"/>
        </w:rPr>
      </w:pPr>
    </w:p>
    <w:p>
      <w:pPr>
        <w:ind w:left="1080" w:hanging="44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NON-EXCLUSIVITY; SURVIVAL OF RIGHTS; INSURANCE; SUBROGATION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0" w:right="40" w:firstLine="1305"/>
        <w:spacing w:after="0" w:line="286" w:lineRule="auto"/>
        <w:tabs>
          <w:tab w:leader="none" w:pos="1698" w:val="left"/>
        </w:tabs>
        <w:numPr>
          <w:ilvl w:val="2"/>
          <w:numId w:val="20"/>
        </w:numPr>
        <w:rPr>
          <w:rFonts w:ascii="Arial" w:cs="Arial" w:eastAsia="Arial" w:hAnsi="Arial"/>
          <w:sz w:val="16"/>
          <w:szCs w:val="16"/>
          <w:color w:val="auto"/>
        </w:rPr>
      </w:pPr>
      <w:r>
        <w:rPr>
          <w:rFonts w:ascii="Arial" w:cs="Arial" w:eastAsia="Arial" w:hAnsi="Arial"/>
          <w:sz w:val="16"/>
          <w:szCs w:val="16"/>
          <w:color w:val="auto"/>
        </w:rPr>
        <w:t>The rights of indemnification and to receive advancement of Expenses as provided by this Agreement (i) shall not be deemed exclusive of any other rights to which Indemnitee may at any time be entitled under applicable law, the Company’s Charter, By-Laws, any agreement, a vote of stockholders or a resolution of directors, or otherwise and (ii) shall be enforced and this Agreement shall be interpreted independently of and without reference to or limitation or constraint (whether procedural, substantive or otherwise) by any other such rights to which Indemnitee may at any time be entitled.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applicable law, whether by statute or judicial decision, permits greater indemnification or advancement of Expenses than would be afforded currently under the Company’s By-Laws or this Agreement, it is the intent of the parties hereto that Indemnitee shall enjoy by this Agreement the greater benefits so afforded by such change. To the extent that a change in Delaware law, whether by statute or judicial decision, narrows or limits indemnification or advancement of Expenses that are afforded currently under the Charter, the By-Laws or this Agreement, it is the intent of the parties hereto that such change, except to the extent required by applicable law, shall have no effect on this Agreement or the parties’ rights and obligations hereunder.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17" w:name="page18"/>
    <w:bookmarkEnd w:id="17"/>
    <w:p>
      <w:pPr>
        <w:ind w:left="-20" w:right="60" w:firstLine="1142"/>
        <w:spacing w:after="0" w:line="253" w:lineRule="auto"/>
        <w:tabs>
          <w:tab w:leader="none" w:pos="1546"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DGCL and the Company’s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8"/>
          <w:szCs w:val="18"/>
          <w:u w:val="single" w:color="auto"/>
          <w:color w:val="auto"/>
        </w:rPr>
        <w:t>Indemnification Arrangements</w:t>
      </w:r>
      <w:r>
        <w:rPr>
          <w:rFonts w:ascii="Arial" w:cs="Arial" w:eastAsia="Arial" w:hAnsi="Arial"/>
          <w:sz w:val="18"/>
          <w:szCs w:val="18"/>
          <w:color w:val="auto"/>
        </w:rPr>
        <w:t>”) on behalf of Indemnitee against any liability asserted against Indemnitee or incurred by or on behalf of Indemnitee or in Indemnitee’s capacity as a director, officer, employee or agent of the Company, or arising out of Indemnitee’s Corporate Status,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(including Section 9(a) and Section 16(c)), and the execution and delivery of this Agreement by the Company and Indemnitee shall not in any way limit or affect the rights and obligations of the Company or the other party or parties thereto under any such Indemnification Arrangement.</w:t>
      </w:r>
    </w:p>
    <w:p>
      <w:pPr>
        <w:spacing w:after="0" w:line="197" w:lineRule="exact"/>
        <w:rPr>
          <w:rFonts w:ascii="Arial" w:cs="Arial" w:eastAsia="Arial" w:hAnsi="Arial"/>
          <w:sz w:val="18"/>
          <w:szCs w:val="18"/>
          <w:color w:val="auto"/>
        </w:rPr>
      </w:pPr>
    </w:p>
    <w:p>
      <w:pPr>
        <w:ind w:left="-20" w:firstLine="1142"/>
        <w:spacing w:after="0" w:line="272" w:lineRule="auto"/>
        <w:tabs>
          <w:tab w:leader="none" w:pos="1539" w:val="left"/>
        </w:tabs>
        <w:numPr>
          <w:ilvl w:val="1"/>
          <w:numId w:val="21"/>
        </w:numPr>
        <w:rPr>
          <w:rFonts w:ascii="Arial" w:cs="Arial" w:eastAsia="Arial" w:hAnsi="Arial"/>
          <w:sz w:val="17"/>
          <w:szCs w:val="17"/>
          <w:color w:val="auto"/>
        </w:rPr>
      </w:pPr>
      <w:r>
        <w:rPr>
          <w:rFonts w:ascii="Arial" w:cs="Arial" w:eastAsia="Arial" w:hAnsi="Arial"/>
          <w:sz w:val="17"/>
          <w:szCs w:val="17"/>
          <w:color w:val="auto"/>
        </w:rPr>
        <w:t>In accordance with the By-Laws, the Company shall maintain insurance to the extent reasonably available, at its expense, to protect itself and Indemnitee for Expenses in accordance with the terms of such insurance to the maximum extent of the coverage available for any director, officer, trustee, partner, managing member, fiduciary, employee or agent under such policy or policies. If, at the time the Company receives notice from any source of a Proceeding as to which Indemnitee is a party or a participant (as a witness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77" w:lineRule="exact"/>
        <w:rPr>
          <w:rFonts w:ascii="Arial" w:cs="Arial" w:eastAsia="Arial" w:hAnsi="Arial"/>
          <w:sz w:val="17"/>
          <w:szCs w:val="17"/>
          <w:color w:val="auto"/>
        </w:rPr>
      </w:pPr>
    </w:p>
    <w:p>
      <w:pPr>
        <w:ind w:left="-20" w:right="20" w:firstLine="1142"/>
        <w:spacing w:after="0" w:line="264" w:lineRule="auto"/>
        <w:tabs>
          <w:tab w:leader="none" w:pos="15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1" w:lineRule="exact"/>
        <w:rPr>
          <w:rFonts w:ascii="Arial" w:cs="Arial" w:eastAsia="Arial" w:hAnsi="Arial"/>
          <w:sz w:val="18"/>
          <w:szCs w:val="18"/>
          <w:color w:val="auto"/>
        </w:rPr>
      </w:pPr>
    </w:p>
    <w:p>
      <w:pPr>
        <w:jc w:val="both"/>
        <w:ind w:left="-20" w:right="440" w:firstLine="1142"/>
        <w:spacing w:after="0" w:line="264" w:lineRule="auto"/>
        <w:tabs>
          <w:tab w:leader="none" w:pos="1536"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Company’s obligation to indemnify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or advancement of expenses from such Enterprise.</w:t>
      </w:r>
    </w:p>
    <w:p>
      <w:pPr>
        <w:spacing w:after="0" w:line="177" w:lineRule="exact"/>
        <w:rPr>
          <w:rFonts w:ascii="Arial" w:cs="Arial" w:eastAsia="Arial" w:hAnsi="Arial"/>
          <w:sz w:val="18"/>
          <w:szCs w:val="18"/>
          <w:color w:val="auto"/>
        </w:rPr>
      </w:pPr>
    </w:p>
    <w:p>
      <w:pPr>
        <w:ind w:left="-20" w:right="20" w:firstLine="656"/>
        <w:spacing w:after="0" w:line="255" w:lineRule="auto"/>
        <w:tabs>
          <w:tab w:leader="none" w:pos="107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DURATION OF AGREEMENT</w:t>
      </w:r>
      <w:r>
        <w:rPr>
          <w:rFonts w:ascii="Arial" w:cs="Arial" w:eastAsia="Arial" w:hAnsi="Arial"/>
          <w:sz w:val="18"/>
          <w:szCs w:val="18"/>
          <w:color w:val="auto"/>
        </w:rPr>
        <w:t>. All agreements and obligations of the Company contained herein shall continue during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Indemnitee serves as a director or officer of the Company or as a director, officer, trustee, partner, managing member, fiduciary, employee or agent of any other corporation, partnership, joint venture, trust, employee benefit plan or other Enterprise which Indemnitee serves at the request of the Company and shall continue thereafter for a period of fifteen years after the date that Indemnitee shall have ceased to serve as a director, officer, trustee, partner, managing member, fiduciary, employee or agent of any other corporation, partnership, joint venture, trust, employee benefit plan or other Enterprise; </w:t>
      </w:r>
      <w:r>
        <w:rPr>
          <w:rFonts w:ascii="Arial" w:cs="Arial" w:eastAsia="Arial" w:hAnsi="Arial"/>
          <w:sz w:val="18"/>
          <w:szCs w:val="18"/>
          <w:u w:val="single" w:color="auto"/>
          <w:color w:val="auto"/>
        </w:rPr>
        <w:t>provided that</w:t>
      </w:r>
      <w:r>
        <w:rPr>
          <w:rFonts w:ascii="Arial" w:cs="Arial" w:eastAsia="Arial" w:hAnsi="Arial"/>
          <w:sz w:val="18"/>
          <w:szCs w:val="18"/>
          <w:color w:val="auto"/>
        </w:rPr>
        <w:t>, with respect to any pending Proceeding to which Indemnitee is or may become subject that is commenced prior to the expiration of such fifteen-year period, the term of this Agreement shall be extended until the date on which the Company has satisfied its obligations pursuant to this Agreement with respect to such Proceeding.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584" w:right="259" w:bottom="1440" w:gutter="0" w:footer="0" w:header="0"/>
        </w:sectPr>
      </w:pPr>
    </w:p>
    <w:bookmarkStart w:id="18" w:name="page19"/>
    <w:bookmarkEnd w:id="18"/>
    <w:p>
      <w:pPr>
        <w:jc w:val="both"/>
        <w:ind w:left="-8" w:right="60" w:firstLine="656"/>
        <w:spacing w:after="0" w:line="289" w:lineRule="auto"/>
        <w:tabs>
          <w:tab w:leader="none" w:pos="1090" w:val="left"/>
        </w:tabs>
        <w:numPr>
          <w:ilvl w:val="1"/>
          <w:numId w:val="23"/>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Nothing in this Agreement is intended to require or shall be construed as requiring the Company to do or fail to do any act</w:t>
      </w:r>
      <w:r>
        <w:rPr>
          <w:rFonts w:ascii="Arial" w:cs="Arial" w:eastAsia="Arial" w:hAnsi="Arial"/>
          <w:sz w:val="16"/>
          <w:szCs w:val="16"/>
          <w:b w:val="1"/>
          <w:bCs w:val="1"/>
          <w:color w:val="auto"/>
        </w:rPr>
        <w:t xml:space="preserve"> </w:t>
      </w:r>
      <w:r>
        <w:rPr>
          <w:rFonts w:ascii="Arial" w:cs="Arial" w:eastAsia="Arial" w:hAnsi="Arial"/>
          <w:sz w:val="16"/>
          <w:szCs w:val="16"/>
          <w:color w:val="auto"/>
        </w:rPr>
        <w:t>in violation of applicable law. The Company’s inability, pursuant to court order or other applicable law, to perform its obligations under this Agreement shall not constitute a breach of this Agreement. If any provision of this Agreement shall be held to be invalid, illegal or unenforceable for any reason whatsoever:</w:t>
      </w:r>
    </w:p>
    <w:p>
      <w:pPr>
        <w:spacing w:after="0" w:line="1" w:lineRule="exact"/>
        <w:rPr>
          <w:rFonts w:ascii="Arial" w:cs="Arial" w:eastAsia="Arial" w:hAnsi="Arial"/>
          <w:sz w:val="16"/>
          <w:szCs w:val="16"/>
          <w:color w:val="auto"/>
        </w:rPr>
      </w:pPr>
    </w:p>
    <w:p>
      <w:pPr>
        <w:ind w:left="-8" w:right="40" w:firstLine="8"/>
        <w:spacing w:after="0" w:line="290" w:lineRule="auto"/>
        <w:tabs>
          <w:tab w:leader="none" w:pos="237"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validity, legality and enforceability of the remaining provisions of this Agreement (including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shall be deemed reformed to the extent necessary to conform to applicable law and to give the maximum effect to the intent of the parties hereto; and (c) to the fullest extent possible, the provisions of this Agreement (including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60" w:lineRule="exact"/>
        <w:rPr>
          <w:rFonts w:ascii="Arial" w:cs="Arial" w:eastAsia="Arial" w:hAnsi="Arial"/>
          <w:sz w:val="16"/>
          <w:szCs w:val="16"/>
          <w:color w:val="auto"/>
        </w:rPr>
      </w:pPr>
    </w:p>
    <w:p>
      <w:pPr>
        <w:ind w:left="1092" w:hanging="444"/>
        <w:spacing w:after="0"/>
        <w:tabs>
          <w:tab w:leader="none" w:pos="1092"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8" w:right="60" w:firstLine="1142"/>
        <w:spacing w:after="0" w:line="264" w:lineRule="auto"/>
        <w:tabs>
          <w:tab w:leader="none" w:pos="1548"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or continue to serve as a director or officer of the Company, and the Company acknowledges that Indemnitee is relying upon this Agreement in serving or continuing to serve as a director or officer of the Company.</w:t>
      </w:r>
    </w:p>
    <w:p>
      <w:pPr>
        <w:spacing w:after="0" w:line="181" w:lineRule="exact"/>
        <w:rPr>
          <w:rFonts w:ascii="Arial" w:cs="Arial" w:eastAsia="Arial" w:hAnsi="Arial"/>
          <w:sz w:val="18"/>
          <w:szCs w:val="18"/>
          <w:color w:val="auto"/>
        </w:rPr>
      </w:pPr>
    </w:p>
    <w:p>
      <w:pPr>
        <w:ind w:left="-8" w:right="140" w:firstLine="1142"/>
        <w:spacing w:after="0" w:line="308" w:lineRule="auto"/>
        <w:tabs>
          <w:tab w:leader="none" w:pos="1558" w:val="left"/>
        </w:tabs>
        <w:numPr>
          <w:ilvl w:val="2"/>
          <w:numId w:val="24"/>
        </w:numPr>
        <w:rPr>
          <w:rFonts w:ascii="Arial" w:cs="Arial" w:eastAsia="Arial" w:hAnsi="Arial"/>
          <w:sz w:val="17"/>
          <w:szCs w:val="17"/>
          <w:color w:val="auto"/>
        </w:rPr>
      </w:pPr>
      <w:r>
        <w:rPr>
          <w:rFonts w:ascii="Arial" w:cs="Arial" w:eastAsia="Arial" w:hAnsi="Arial"/>
          <w:sz w:val="17"/>
          <w:szCs w:val="17"/>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6" w:lineRule="exact"/>
        <w:rPr>
          <w:rFonts w:ascii="Arial" w:cs="Arial" w:eastAsia="Arial" w:hAnsi="Arial"/>
          <w:sz w:val="17"/>
          <w:szCs w:val="17"/>
          <w:color w:val="auto"/>
        </w:rPr>
      </w:pPr>
    </w:p>
    <w:p>
      <w:pPr>
        <w:ind w:left="-8" w:right="500" w:firstLine="1142"/>
        <w:spacing w:after="0" w:line="286" w:lineRule="auto"/>
        <w:tabs>
          <w:tab w:leader="none" w:pos="1548" w:val="left"/>
        </w:tabs>
        <w:numPr>
          <w:ilvl w:val="2"/>
          <w:numId w:val="24"/>
        </w:numPr>
        <w:rPr>
          <w:rFonts w:ascii="Arial" w:cs="Arial" w:eastAsia="Arial" w:hAnsi="Arial"/>
          <w:sz w:val="17"/>
          <w:szCs w:val="17"/>
          <w:color w:val="auto"/>
        </w:rPr>
      </w:pPr>
      <w:r>
        <w:rPr>
          <w:rFonts w:ascii="Arial" w:cs="Arial" w:eastAsia="Arial" w:hAnsi="Arial"/>
          <w:sz w:val="17"/>
          <w:szCs w:val="17"/>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65" w:lineRule="exact"/>
        <w:rPr>
          <w:rFonts w:ascii="Arial" w:cs="Arial" w:eastAsia="Arial" w:hAnsi="Arial"/>
          <w:sz w:val="17"/>
          <w:szCs w:val="17"/>
          <w:color w:val="auto"/>
        </w:rPr>
      </w:pPr>
    </w:p>
    <w:p>
      <w:pPr>
        <w:ind w:left="-8" w:right="240" w:firstLine="1142"/>
        <w:spacing w:after="0" w:line="276" w:lineRule="auto"/>
        <w:tabs>
          <w:tab w:leader="none" w:pos="1558" w:val="left"/>
        </w:tabs>
        <w:numPr>
          <w:ilvl w:val="2"/>
          <w:numId w:val="24"/>
        </w:numPr>
        <w:rPr>
          <w:rFonts w:ascii="Arial" w:cs="Arial" w:eastAsia="Arial" w:hAnsi="Arial"/>
          <w:sz w:val="17"/>
          <w:szCs w:val="17"/>
          <w:color w:val="auto"/>
        </w:rPr>
      </w:pPr>
      <w:r>
        <w:rPr>
          <w:rFonts w:ascii="Arial" w:cs="Arial" w:eastAsia="Arial" w:hAnsi="Arial"/>
          <w:sz w:val="17"/>
          <w:szCs w:val="17"/>
          <w:color w:val="auto"/>
        </w:rPr>
        <w:t>The rights provided by or granted to Indemnitee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at the Company’s request in accordance with Section 17, and shall inure to the benefit of Indemnitee and his or her spouse, assigns, heirs, devisees, executors and administrators and other legal representatives.</w:t>
      </w:r>
    </w:p>
    <w:p>
      <w:pPr>
        <w:spacing w:after="0" w:line="172" w:lineRule="exact"/>
        <w:rPr>
          <w:rFonts w:ascii="Arial" w:cs="Arial" w:eastAsia="Arial" w:hAnsi="Arial"/>
          <w:sz w:val="17"/>
          <w:szCs w:val="17"/>
          <w:color w:val="auto"/>
        </w:rPr>
      </w:pPr>
    </w:p>
    <w:p>
      <w:pPr>
        <w:ind w:left="-8" w:firstLine="1142"/>
        <w:spacing w:after="0" w:line="259" w:lineRule="auto"/>
        <w:tabs>
          <w:tab w:leader="none" w:pos="1548"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or substantially all of the business 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80" w:right="239" w:bottom="1440" w:gutter="0" w:footer="0" w:header="0"/>
        </w:sectPr>
      </w:pPr>
    </w:p>
    <w:bookmarkStart w:id="19" w:name="page20"/>
    <w:bookmarkEnd w:id="19"/>
    <w:p>
      <w:pPr>
        <w:ind w:right="40" w:firstLine="1142"/>
        <w:spacing w:after="0" w:line="290" w:lineRule="auto"/>
        <w:tabs>
          <w:tab w:leader="none" w:pos="1536"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to prove, and further agree that such breach may cause Indemnitee irreparable harm. Accordingly, the parties hereto agree that Indemnitee may enforce this Agreement by seeking injunctive relief and/or specific performance hereof in accordance with Section 22,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such a bond or undertaking.</w:t>
      </w:r>
    </w:p>
    <w:p>
      <w:pPr>
        <w:spacing w:after="0" w:line="162" w:lineRule="exact"/>
        <w:rPr>
          <w:rFonts w:ascii="Arial" w:cs="Arial" w:eastAsia="Arial" w:hAnsi="Arial"/>
          <w:sz w:val="16"/>
          <w:szCs w:val="16"/>
          <w:color w:val="auto"/>
        </w:rPr>
      </w:pPr>
    </w:p>
    <w:p>
      <w:pPr>
        <w:jc w:val="both"/>
        <w:ind w:right="60" w:firstLine="656"/>
        <w:spacing w:after="0" w:line="266" w:lineRule="auto"/>
        <w:tabs>
          <w:tab w:leader="none" w:pos="1098"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Except as provided in Section 16(a), no supplement, modification or amendment of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binding unless executed in writing by the parties hereto. No waiver of any of the provisions of this Agreement shall be deemed or shall constitute a waiver of any other provisions of this Agreement nor shall any waiver constitute a continuing waiver.</w:t>
      </w:r>
    </w:p>
    <w:p>
      <w:pPr>
        <w:spacing w:after="0" w:line="176" w:lineRule="exact"/>
        <w:rPr>
          <w:rFonts w:ascii="Arial" w:cs="Arial" w:eastAsia="Arial" w:hAnsi="Arial"/>
          <w:sz w:val="18"/>
          <w:szCs w:val="18"/>
          <w:color w:val="auto"/>
        </w:rPr>
      </w:pPr>
    </w:p>
    <w:p>
      <w:pPr>
        <w:ind w:right="100" w:firstLine="656"/>
        <w:spacing w:after="0" w:line="277" w:lineRule="auto"/>
        <w:tabs>
          <w:tab w:leader="none" w:pos="1098"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(i) if delivered by hand and receipted for by the party to whom said notice or other communication shall have been directed, (ii) if mailed by certified or registered mail with postage prepaid, on the third (3rd) business day thereafter, (iii) if sent by an overnight courier service (paid by sender) on the first (1st) business day after the date on which it is so mailed, or (iv) if sent by email (with a written or electronic confirmation of delivery) on the date of delivery if sent prior to 6:00pm on the business day in the place of delivery, otherwise on the next succeeding business day:</w:t>
      </w:r>
    </w:p>
    <w:p>
      <w:pPr>
        <w:spacing w:after="0" w:line="172" w:lineRule="exact"/>
        <w:rPr>
          <w:rFonts w:ascii="Arial" w:cs="Arial" w:eastAsia="Arial" w:hAnsi="Arial"/>
          <w:sz w:val="17"/>
          <w:szCs w:val="17"/>
          <w:color w:val="auto"/>
        </w:rPr>
      </w:pPr>
    </w:p>
    <w:p>
      <w:pPr>
        <w:ind w:right="160" w:firstLine="1142"/>
        <w:spacing w:after="0" w:line="277" w:lineRule="auto"/>
        <w:tabs>
          <w:tab w:leader="none" w:pos="1559"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1580" w:hanging="438"/>
        <w:spacing w:after="0"/>
        <w:tabs>
          <w:tab w:leader="none" w:pos="1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Attention: Tom Kampfer; Jeff Jones</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 tom.kampfer@cohu.com; jeff.jones@cohu.com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ind w:firstLine="656"/>
        <w:spacing w:after="0" w:line="291" w:lineRule="auto"/>
        <w:tabs>
          <w:tab w:leader="none" w:pos="1088"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APPLICABLE LAW AND CONSENT TO JURISDICTION</w:t>
      </w:r>
      <w:r>
        <w:rPr>
          <w:rFonts w:ascii="Arial" w:cs="Arial" w:eastAsia="Arial" w:hAnsi="Arial"/>
          <w:sz w:val="16"/>
          <w:szCs w:val="16"/>
          <w:color w:val="auto"/>
        </w:rPr>
        <w:t>. This Agreement and the legal relations among the parties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by, and construed and enforced in accordance with, the laws of the State of Delaware, without regard to its conflict of laws rules. Except with respect to any arbitration agreed to by Indemnitee and the Company pursuant to Section 14(a),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jc w:val="both"/>
        <w:ind w:left="-120" w:firstLine="656"/>
        <w:spacing w:after="0" w:line="281" w:lineRule="auto"/>
        <w:tabs>
          <w:tab w:leader="none" w:pos="978"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AMENDMENT AND RESTATEMENT</w:t>
      </w:r>
      <w:r>
        <w:rPr>
          <w:rFonts w:ascii="Arial" w:cs="Arial" w:eastAsia="Arial" w:hAnsi="Arial"/>
          <w:sz w:val="17"/>
          <w:szCs w:val="17"/>
          <w:color w:val="auto"/>
        </w:rPr>
        <w:t>. This Agreement amends and restates the indemnity agreement between the Company and Indemnitee, dated as of [•] (the “</w:t>
      </w:r>
      <w:r>
        <w:rPr>
          <w:rFonts w:ascii="Arial" w:cs="Arial" w:eastAsia="Arial" w:hAnsi="Arial"/>
          <w:sz w:val="17"/>
          <w:szCs w:val="17"/>
          <w:u w:val="single" w:color="auto"/>
          <w:color w:val="auto"/>
        </w:rPr>
        <w:t>Prior Agreement</w:t>
      </w:r>
      <w:r>
        <w:rPr>
          <w:rFonts w:ascii="Arial" w:cs="Arial" w:eastAsia="Arial" w:hAnsi="Arial"/>
          <w:sz w:val="17"/>
          <w:szCs w:val="17"/>
          <w:color w:val="auto"/>
        </w:rPr>
        <w:t>”), in its entirety in accordance with Section 21 of the Prior Agreement. Any references to the Prior Agreement in any other document shall be deemed to be references to this Agreement, as so amended and restated. For the avoidance of doubt, there shall not be any lapse in Indemnitee’s right to indemnification as a result of the amendment and restatement of the Prior Agreement.]</w:t>
      </w:r>
    </w:p>
    <w:p>
      <w:pPr>
        <w:spacing w:after="0" w:line="164" w:lineRule="exact"/>
        <w:rPr>
          <w:rFonts w:ascii="Arial" w:cs="Arial" w:eastAsia="Arial" w:hAnsi="Arial"/>
          <w:sz w:val="17"/>
          <w:szCs w:val="17"/>
          <w:color w:val="auto"/>
        </w:rPr>
      </w:pPr>
    </w:p>
    <w:p>
      <w:pPr>
        <w:ind w:left="-120" w:right="60" w:firstLine="656"/>
        <w:spacing w:after="0" w:line="266" w:lineRule="auto"/>
        <w:tabs>
          <w:tab w:leader="none" w:pos="978"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one or more counterparts, each of which shall for all purposes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together shall constitute one and the same Agreement. Only one such counterpart signed by the party against whom enforceability is sought needs to be produced to evidence the existence of this Agreement.</w:t>
      </w:r>
    </w:p>
    <w:p>
      <w:pPr>
        <w:spacing w:after="0" w:line="176" w:lineRule="exact"/>
        <w:rPr>
          <w:rFonts w:ascii="Arial" w:cs="Arial" w:eastAsia="Arial" w:hAnsi="Arial"/>
          <w:sz w:val="18"/>
          <w:szCs w:val="18"/>
          <w:color w:val="auto"/>
        </w:rPr>
      </w:pPr>
    </w:p>
    <w:p>
      <w:pPr>
        <w:ind w:left="-120" w:right="160" w:firstLine="656"/>
        <w:spacing w:after="0" w:line="281" w:lineRule="auto"/>
        <w:tabs>
          <w:tab w:leader="none" w:pos="978"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 Use of the masculine pronoun shall be deemed to include usage of the feminine pronoun where appropriate. The</w:t>
      </w:r>
      <w:r>
        <w:rPr>
          <w:rFonts w:ascii="Arial" w:cs="Arial" w:eastAsia="Arial" w:hAnsi="Arial"/>
          <w:sz w:val="17"/>
          <w:szCs w:val="17"/>
          <w:b w:val="1"/>
          <w:bCs w:val="1"/>
          <w:color w:val="auto"/>
        </w:rPr>
        <w:t xml:space="preserve"> </w:t>
      </w:r>
      <w:r>
        <w:rPr>
          <w:rFonts w:ascii="Arial" w:cs="Arial" w:eastAsia="Arial" w:hAnsi="Arial"/>
          <w:sz w:val="17"/>
          <w:szCs w:val="17"/>
          <w:color w:val="auto"/>
        </w:rPr>
        <w:t>headings of the paragraphs of this Agreement are inserted for convenience only and shall not be deemed to constitute part of this Agreement or to affect the construction thereof. Any reference to any “Section” shall be deemed to refer to the corresponding Section hereof, unless such reference expressly refers to another document or law. The words “include” or “including” shall be deemed to be followed by “without limitation.”</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parties have caused this Agreement to be signed as of the day and year first above written.</w:t>
      </w:r>
    </w:p>
    <w:p>
      <w:pPr>
        <w:sectPr>
          <w:pgSz w:w="11900" w:h="16838" w:orient="portrait"/>
          <w:cols w:equalWidth="0" w:num="1">
            <w:col w:w="11260"/>
          </w:cols>
          <w:pgMar w:left="360" w:top="580" w:right="27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COHU, INC.</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4440"/>
        <w:spacing w:after="0"/>
        <w:rPr>
          <w:sz w:val="20"/>
          <w:szCs w:val="20"/>
          <w:color w:val="auto"/>
        </w:rPr>
      </w:pPr>
      <w:r>
        <w:rPr>
          <w:rFonts w:ascii="Arial" w:cs="Arial" w:eastAsia="Arial" w:hAnsi="Arial"/>
          <w:sz w:val="18"/>
          <w:szCs w:val="18"/>
          <w:color w:val="auto"/>
        </w:rPr>
        <w:t>INDEMNITEE</w:t>
      </w:r>
    </w:p>
    <w:p>
      <w:pPr>
        <w:spacing w:after="0" w:line="200" w:lineRule="exact"/>
        <w:rPr>
          <w:sz w:val="20"/>
          <w:szCs w:val="20"/>
          <w:color w:val="auto"/>
        </w:rPr>
      </w:pPr>
    </w:p>
    <w:p>
      <w:pPr>
        <w:sectPr>
          <w:pgSz w:w="11900" w:h="16838" w:orient="portrait"/>
          <w:cols w:equalWidth="0" w:num="2">
            <w:col w:w="4980" w:space="720"/>
            <w:col w:w="5560"/>
          </w:cols>
          <w:pgMar w:left="360" w:top="580" w:right="27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Name: ___________________________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Title:  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Name:____________________________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Address:__________________________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Email: ____________________________</w:t>
      </w:r>
    </w:p>
    <w:p>
      <w:pPr>
        <w:spacing w:after="0" w:line="200" w:lineRule="exact"/>
        <w:rPr>
          <w:sz w:val="20"/>
          <w:szCs w:val="20"/>
          <w:color w:val="auto"/>
        </w:rPr>
      </w:pPr>
    </w:p>
    <w:p>
      <w:pPr>
        <w:sectPr>
          <w:pgSz w:w="11900" w:h="16838" w:orient="portrait"/>
          <w:cols w:equalWidth="0" w:num="2">
            <w:col w:w="4980" w:space="720"/>
            <w:col w:w="5560"/>
          </w:cols>
          <w:pgMar w:left="360" w:top="580" w:right="279" w:bottom="1440" w:gutter="0" w:footer="0" w:header="0"/>
          <w:type w:val="continuous"/>
        </w:sectPr>
      </w:pPr>
    </w:p>
    <w:p>
      <w:pPr>
        <w:spacing w:after="0" w:line="3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17</w:t>
      </w:r>
    </w:p>
    <w:sectPr>
      <w:pgSz w:w="11900" w:h="16838" w:orient="portrait"/>
      <w:cols w:equalWidth="0" w:num="1">
        <w:col w:w="11260"/>
      </w:cols>
      <w:pgMar w:left="360" w:top="58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4"/>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
    <w:nsid w:val="4E6AFB66"/>
    <w:multiLevelType w:val="hybridMultilevel"/>
    <w:lvl w:ilvl="0">
      <w:lvlJc w:val="left"/>
      <w:lvlText w:val="%1"/>
      <w:numFmt w:val="lowerLetter"/>
      <w:start w:val="1"/>
    </w:lvl>
    <w:lvl w:ilvl="1">
      <w:lvlJc w:val="left"/>
      <w:lvlText w:val="(%2)"/>
      <w:numFmt w:val="lowerRoman"/>
      <w:start w:val="5"/>
    </w:lvl>
  </w:abstractNum>
  <w:abstractNum w:abstractNumId="5">
    <w:nsid w:val="25E45D32"/>
    <w:multiLevelType w:val="hybridMultilevel"/>
    <w:lvl w:ilvl="0">
      <w:lvlJc w:val="left"/>
      <w:lvlText w:val="(%1)"/>
      <w:numFmt w:val="lowerLetter"/>
      <w:start w:val="3"/>
    </w:lvl>
    <w:lvl w:ilvl="1">
      <w:lvlJc w:val="left"/>
      <w:lvlText w:val="%2"/>
      <w:numFmt w:val="lowerRoman"/>
      <w:start w:val="1"/>
    </w:lvl>
  </w:abstractNum>
  <w:abstractNum w:abstractNumId="6">
    <w:nsid w:val="519B500D"/>
    <w:multiLevelType w:val="hybridMultilevel"/>
    <w:lvl w:ilvl="0">
      <w:lvlJc w:val="left"/>
      <w:lvlText w:val="(%1)"/>
      <w:numFmt w:val="lowerLetter"/>
      <w:start w:val="9"/>
    </w:lvl>
  </w:abstractNum>
  <w:abstractNum w:abstractNumId="7">
    <w:nsid w:val="431BD7B7"/>
    <w:multiLevelType w:val="hybridMultilevel"/>
    <w:lvl w:ilvl="0">
      <w:lvlJc w:val="left"/>
      <w:lvlText w:val="%1."/>
      <w:numFmt w:val="decimal"/>
      <w:start w:val="3"/>
    </w:lvl>
  </w:abstractNum>
  <w:abstractNum w:abstractNumId="8">
    <w:nsid w:val="3F2DBA31"/>
    <w:multiLevelType w:val="hybridMultilevel"/>
    <w:lvl w:ilvl="0">
      <w:lvlJc w:val="left"/>
      <w:lvlText w:val="%1."/>
      <w:numFmt w:val="decimal"/>
      <w:start w:val="6"/>
    </w:lvl>
    <w:lvl w:ilvl="1">
      <w:lvlJc w:val="left"/>
      <w:lvlText w:val="(%2)"/>
      <w:numFmt w:val="lowerLetter"/>
      <w:start w:val="1"/>
    </w:lvl>
  </w:abstractNum>
  <w:abstractNum w:abstractNumId="9">
    <w:nsid w:val="7C83E458"/>
    <w:multiLevelType w:val="hybridMultilevel"/>
    <w:lvl w:ilvl="0">
      <w:lvlJc w:val="left"/>
      <w:lvlText w:val="%1"/>
      <w:numFmt w:val="decimal"/>
      <w:start w:val="1"/>
    </w:lvl>
    <w:lvl w:ilvl="1">
      <w:lvlJc w:val="left"/>
      <w:lvlText w:val="(%2)"/>
      <w:numFmt w:val="lowerLetter"/>
      <w:start w:val="3"/>
    </w:lvl>
  </w:abstractNum>
  <w:abstractNum w:abstractNumId="10">
    <w:nsid w:val="257130A3"/>
    <w:multiLevelType w:val="hybridMultilevel"/>
    <w:lvl w:ilvl="0">
      <w:lvlJc w:val="left"/>
      <w:lvlText w:val="%1."/>
      <w:numFmt w:val="decimal"/>
      <w:start w:val="9"/>
    </w:lvl>
    <w:lvl w:ilvl="1">
      <w:lvlJc w:val="left"/>
      <w:lvlText w:val="(%2)"/>
      <w:numFmt w:val="lowerLetter"/>
      <w:start w:val="1"/>
    </w:lvl>
  </w:abstractNum>
  <w:abstractNum w:abstractNumId="11">
    <w:nsid w:val="62BBD95A"/>
    <w:multiLevelType w:val="hybridMultilevel"/>
    <w:lvl w:ilvl="0">
      <w:lvlJc w:val="left"/>
      <w:lvlText w:val="%1."/>
      <w:numFmt w:val="decimal"/>
      <w:start w:val="10"/>
    </w:lvl>
    <w:lvl w:ilvl="1">
      <w:lvlJc w:val="left"/>
      <w:lvlText w:val="(%2)"/>
      <w:numFmt w:val="lowerLetter"/>
      <w:start w:val="1"/>
    </w:lvl>
  </w:abstractNum>
  <w:abstractNum w:abstractNumId="12">
    <w:nsid w:val="436C6125"/>
    <w:multiLevelType w:val="hybridMultilevel"/>
    <w:lvl w:ilvl="0">
      <w:lvlJc w:val="left"/>
      <w:lvlText w:val="%1"/>
      <w:numFmt w:val="decimal"/>
      <w:start w:val="1"/>
    </w:lvl>
    <w:lvl w:ilvl="1">
      <w:lvlJc w:val="left"/>
      <w:lvlText w:val="(%2)"/>
      <w:numFmt w:val="lowerLetter"/>
      <w:start w:val="2"/>
    </w:lvl>
  </w:abstractNum>
  <w:abstractNum w:abstractNumId="13">
    <w:nsid w:val="628C895D"/>
    <w:multiLevelType w:val="hybridMultilevel"/>
    <w:lvl w:ilvl="0">
      <w:lvlJc w:val="left"/>
      <w:lvlText w:val="%1."/>
      <w:numFmt w:val="decimal"/>
      <w:start w:val="12"/>
    </w:lvl>
    <w:lvl w:ilvl="1">
      <w:lvlJc w:val="left"/>
      <w:lvlText w:val="(%2)"/>
      <w:numFmt w:val="lowerLetter"/>
      <w:start w:val="1"/>
    </w:lvl>
  </w:abstractNum>
  <w:abstractNum w:abstractNumId="14">
    <w:nsid w:val="333AB105"/>
    <w:multiLevelType w:val="hybridMultilevel"/>
    <w:lvl w:ilvl="0">
      <w:lvlJc w:val="left"/>
      <w:lvlText w:val="%1"/>
      <w:numFmt w:val="decimal"/>
      <w:start w:val="1"/>
    </w:lvl>
    <w:lvl w:ilvl="1">
      <w:lvlJc w:val="left"/>
      <w:lvlText w:val="(%2)"/>
      <w:numFmt w:val="lowerLetter"/>
      <w:start w:val="3"/>
    </w:lvl>
  </w:abstractNum>
  <w:abstractNum w:abstractNumId="15">
    <w:nsid w:val="721DA317"/>
    <w:multiLevelType w:val="hybridMultilevel"/>
    <w:lvl w:ilvl="0">
      <w:lvlJc w:val="left"/>
      <w:lvlText w:val="%1."/>
      <w:numFmt w:val="decimal"/>
      <w:start w:val="13"/>
    </w:lvl>
    <w:lvl w:ilvl="1">
      <w:lvlJc w:val="left"/>
      <w:lvlText w:val="(%2)"/>
      <w:numFmt w:val="lowerLetter"/>
      <w:start w:val="1"/>
    </w:lvl>
  </w:abstractNum>
  <w:abstractNum w:abstractNumId="16">
    <w:nsid w:val="2443A858"/>
    <w:multiLevelType w:val="hybridMultilevel"/>
    <w:lvl w:ilvl="0">
      <w:lvlJc w:val="left"/>
      <w:lvlText w:val="(%1)"/>
      <w:numFmt w:val="lowerLetter"/>
      <w:start w:val="3"/>
    </w:lvl>
  </w:abstractNum>
  <w:abstractNum w:abstractNumId="17">
    <w:nsid w:val="2D1D5AE9"/>
    <w:multiLevelType w:val="hybridMultilevel"/>
    <w:lvl w:ilvl="0">
      <w:lvlJc w:val="left"/>
      <w:lvlText w:val="%1."/>
      <w:numFmt w:val="decimal"/>
      <w:start w:val="14"/>
    </w:lvl>
    <w:lvl w:ilvl="1">
      <w:lvlJc w:val="left"/>
      <w:lvlText w:val="(%2)"/>
      <w:numFmt w:val="lowerLetter"/>
      <w:start w:val="1"/>
    </w:lvl>
  </w:abstractNum>
  <w:abstractNum w:abstractNumId="18">
    <w:nsid w:val="6763845E"/>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9">
    <w:nsid w:val="75A2A8D4"/>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20">
    <w:nsid w:val="8EDBDAB"/>
    <w:multiLevelType w:val="hybridMultilevel"/>
    <w:lvl w:ilvl="0">
      <w:lvlJc w:val="left"/>
      <w:lvlText w:val="%1"/>
      <w:numFmt w:val="decimal"/>
      <w:start w:val="1"/>
    </w:lvl>
    <w:lvl w:ilvl="1">
      <w:lvlJc w:val="left"/>
      <w:lvlText w:val="(%2)"/>
      <w:numFmt w:val="lowerLetter"/>
      <w:start w:val="2"/>
    </w:lvl>
  </w:abstractNum>
  <w:abstractNum w:abstractNumId="21">
    <w:nsid w:val="79838CB2"/>
    <w:multiLevelType w:val="hybridMultilevel"/>
    <w:lvl w:ilvl="0">
      <w:lvlJc w:val="left"/>
      <w:lvlText w:val="%1."/>
      <w:numFmt w:val="decimal"/>
      <w:start w:val="17"/>
    </w:lvl>
    <w:lvl w:ilvl="1">
      <w:lvlJc w:val="left"/>
      <w:lvlText w:val="%2"/>
      <w:numFmt w:val="lowerLetter"/>
      <w:start w:val="1"/>
    </w:lvl>
  </w:abstractNum>
  <w:abstractNum w:abstractNumId="22">
    <w:nsid w:val="4353D0CD"/>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23">
    <w:nsid w:val="B03E0C6"/>
    <w:multiLevelType w:val="hybridMultilevel"/>
    <w:lvl w:ilvl="0">
      <w:lvlJc w:val="left"/>
      <w:lvlText w:val="(%1)"/>
      <w:numFmt w:val="lowerLetter"/>
      <w:start w:val="1"/>
    </w:lvl>
    <w:lvl w:ilvl="1">
      <w:lvlJc w:val="left"/>
      <w:lvlText w:val="%2."/>
      <w:numFmt w:val="decimal"/>
      <w:start w:val="19"/>
    </w:lvl>
    <w:lvl w:ilvl="2">
      <w:lvlJc w:val="left"/>
      <w:lvlText w:val="(%3)"/>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6"/>
    </w:lvl>
  </w:abstractNum>
  <w:abstractNum w:abstractNumId="25">
    <w:nsid w:val="54E49EB4"/>
    <w:multiLevelType w:val="hybridMultilevel"/>
    <w:lvl w:ilvl="0">
      <w:lvlJc w:val="left"/>
      <w:lvlText w:val="%1."/>
      <w:numFmt w:val="decimal"/>
      <w:start w:val="20"/>
    </w:lvl>
    <w:lvl w:ilvl="1">
      <w:lvlJc w:val="left"/>
      <w:lvlText w:val="(%2)"/>
      <w:numFmt w:val="lowerLetter"/>
      <w:start w:val="1"/>
    </w:lvl>
  </w:abstractNum>
  <w:abstractNum w:abstractNumId="26">
    <w:nsid w:val="71F32454"/>
    <w:multiLevelType w:val="hybridMultilevel"/>
    <w:lvl w:ilvl="0">
      <w:lvlJc w:val="left"/>
      <w:lvlText w:val="%1."/>
      <w:numFmt w:val="decimal"/>
      <w:start w:val="22"/>
    </w:lvl>
  </w:abstractNum>
  <w:abstractNum w:abstractNumId="27">
    <w:nsid w:val="2CA88611"/>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2019-12-28T17:19:18Z</dcterms:created>
  <dcterms:modified xsi:type="dcterms:W3CDTF">2019-12-28T17:19:18Z</dcterms:modified>
</cp:coreProperties>
</file>