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Muller Luis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03/24/2015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right="217"/>
              <w:spacing w:after="0"/>
              <w:rPr>
                <w:sz w:val="20"/>
                <w:szCs w:val="20"/>
                <w:color w:val="auto"/>
              </w:rPr>
            </w:pPr>
            <w:r>
              <w:rPr>
                <w:rFonts w:ascii="Arial" w:cs="Arial" w:eastAsia="Arial" w:hAnsi="Arial"/>
                <w:sz w:val="18"/>
                <w:szCs w:val="18"/>
                <w:color w:val="0000FF"/>
              </w:rPr>
              <w:t>200,901</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Stock Units</w:t>
            </w:r>
            <w:r>
              <w:rPr>
                <w:rFonts w:ascii="Arial" w:cs="Arial" w:eastAsia="Arial" w:hAnsi="Arial"/>
                <w:sz w:val="22"/>
                <w:szCs w:val="22"/>
                <w:color w:val="008000"/>
                <w:vertAlign w:val="superscript"/>
              </w:rPr>
              <w:t>(2)</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03/24/2015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3"/>
              </w:rPr>
              <w:t>42,656</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37"/>
              <w:spacing w:after="0"/>
              <w:rPr>
                <w:sz w:val="20"/>
                <w:szCs w:val="20"/>
                <w:color w:val="auto"/>
              </w:rPr>
            </w:pPr>
            <w:r>
              <w:rPr>
                <w:rFonts w:ascii="Arial" w:cs="Arial" w:eastAsia="Arial" w:hAnsi="Arial"/>
                <w:sz w:val="18"/>
                <w:szCs w:val="18"/>
                <w:color w:val="0000FF"/>
                <w:w w:val="87"/>
              </w:rPr>
              <w:t>42,656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151,402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spacing w:after="0" w:line="30" w:lineRule="exact"/>
        <w:rPr>
          <w:rFonts w:ascii="Arial" w:cs="Arial" w:eastAsia="Arial" w:hAnsi="Arial"/>
          <w:sz w:val="14"/>
          <w:szCs w:val="14"/>
          <w:color w:val="008000"/>
        </w:rPr>
      </w:pPr>
    </w:p>
    <w:p>
      <w:pPr>
        <w:ind w:left="40" w:right="24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performance shares (restricted stock units) that will be converted on a one-for-one basis into shares of Cohu, Inc. common stock upon vesting. These performance shares will vest only after the achievement of specified performance goals. Provided such goals are achieved, vesting is scheduled to occur no earlier than two equal annual installments beginning March 24, 2017 (subject to continued employment through each vest date). The number of shares shown is the target award level. The actual number of shares that may vest ranges from 25% to 200% of the target amount, depending on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03/26/2015</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9513"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2019-12-24T02:55:09Z</dcterms:created>
  <dcterms:modified xsi:type="dcterms:W3CDTF">2019-12-24T02:55:09Z</dcterms:modified>
</cp:coreProperties>
</file>