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ALLEN JOHN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Vice President Administration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8"/>
                <w:szCs w:val="18"/>
                <w:color w:val="0000FF"/>
                <w:w w:val="84"/>
              </w:rPr>
              <w:t>92,975</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(2)</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03/24/2015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3"/>
              </w:rPr>
              <w:t>10,554</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10,554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(3)</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03/24/2015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3"/>
              </w:rPr>
              <w:t>10,554</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10,554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35,540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 vests in four equal annual installments beginning March 24, 2016 (assuming continued employment).</w:t>
      </w:r>
    </w:p>
    <w:p>
      <w:pPr>
        <w:spacing w:after="0" w:line="30" w:lineRule="exact"/>
        <w:rPr>
          <w:rFonts w:ascii="Arial" w:cs="Arial" w:eastAsia="Arial" w:hAnsi="Arial"/>
          <w:sz w:val="14"/>
          <w:szCs w:val="14"/>
          <w:color w:val="008000"/>
        </w:rPr>
      </w:pPr>
    </w:p>
    <w:p>
      <w:pPr>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 shares (restricted stock units) that will be converted on a one-for-one basis into shares of Cohu, Inc. common stock upon vesting. These performance shares will vest only after the achievement of specified performance goals. Provided such goals are achieved, vesting is scheduled to occur no earlier than two equal annual installments beginning March 24, 2017 (subject to continued employment through each vest date). The number of shares shown is the target award level. The actual number of shares that may vest ranges from 25% to 200% of the target amount, depending on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03/26/2015</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2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2019-12-24T02:55:02Z</dcterms:created>
  <dcterms:modified xsi:type="dcterms:W3CDTF">2019-12-24T02:55:02Z</dcterms:modified>
</cp:coreProperties>
</file>